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22F9" w14:textId="03846BF3" w:rsidR="0017272D" w:rsidRPr="0017272D" w:rsidRDefault="0017272D" w:rsidP="0017272D">
      <w:pPr>
        <w:pStyle w:val="Heading1"/>
        <w:spacing w:after="0"/>
        <w:rPr>
          <w:b w:val="0"/>
          <w:sz w:val="20"/>
          <w:szCs w:val="20"/>
        </w:rPr>
      </w:pPr>
      <w:bookmarkStart w:id="0" w:name="_Toc143586611"/>
      <w:r w:rsidRPr="0017272D">
        <w:rPr>
          <w:b w:val="0"/>
          <w:sz w:val="20"/>
          <w:szCs w:val="20"/>
        </w:rPr>
        <w:t>POSITION DESCRIPTION</w:t>
      </w:r>
    </w:p>
    <w:p w14:paraId="6696497C" w14:textId="1A67C593" w:rsidR="004B5D5B" w:rsidRPr="00661AE5" w:rsidRDefault="00B52589" w:rsidP="0017272D">
      <w:pPr>
        <w:pStyle w:val="Heading1"/>
        <w:spacing w:before="120"/>
      </w:pPr>
      <w:r>
        <w:t>GENERAL COUNSEL, DEPARTMENT OF EDUCATION</w:t>
      </w:r>
      <w:r w:rsidR="00661AE5" w:rsidRPr="00661AE5">
        <w:tab/>
      </w:r>
    </w:p>
    <w:p w14:paraId="5CF9652B" w14:textId="77777777" w:rsidR="00661AE5" w:rsidRPr="00661AE5" w:rsidRDefault="00661AE5"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2"/>
        <w:gridCol w:w="6790"/>
      </w:tblGrid>
      <w:tr w:rsidR="00877512" w:rsidRPr="00A134AE" w14:paraId="6F0A6BEB" w14:textId="77777777" w:rsidTr="00DB2BD8">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2900A3" w14:textId="76116291" w:rsidR="00B64A22" w:rsidRPr="00A134AE" w:rsidRDefault="00B64A22" w:rsidP="00877512">
            <w:pPr>
              <w:contextualSpacing/>
              <w:jc w:val="center"/>
              <w:rPr>
                <w:rFonts w:asciiTheme="majorHAnsi" w:hAnsiTheme="majorHAnsi" w:cstheme="majorHAnsi"/>
                <w:b/>
              </w:rPr>
            </w:pPr>
            <w:r w:rsidRPr="00A134AE">
              <w:rPr>
                <w:rFonts w:asciiTheme="majorHAnsi" w:hAnsiTheme="majorHAnsi" w:cstheme="majorHAnsi"/>
                <w:b/>
              </w:rPr>
              <w:t>OVERVIEW</w:t>
            </w:r>
          </w:p>
        </w:tc>
      </w:tr>
      <w:tr w:rsidR="00877512" w:rsidRPr="00A134AE" w14:paraId="1193BE6A" w14:textId="77777777" w:rsidTr="00DB2BD8">
        <w:tc>
          <w:tcPr>
            <w:tcW w:w="267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5D5B9" w14:textId="152EFBDA" w:rsidR="00B92A39" w:rsidRPr="00A134AE" w:rsidRDefault="000E0157" w:rsidP="00877512">
            <w:pPr>
              <w:contextualSpacing/>
              <w:rPr>
                <w:rFonts w:asciiTheme="majorHAnsi" w:hAnsiTheme="majorHAnsi" w:cstheme="majorHAnsi"/>
              </w:rPr>
            </w:pPr>
            <w:r w:rsidRPr="00A134AE">
              <w:rPr>
                <w:rFonts w:asciiTheme="majorHAnsi" w:hAnsiTheme="majorHAnsi" w:cstheme="majorHAnsi"/>
              </w:rPr>
              <w:t xml:space="preserve">Senate </w:t>
            </w:r>
            <w:r w:rsidR="00B92A39" w:rsidRPr="00A134AE">
              <w:rPr>
                <w:rFonts w:asciiTheme="majorHAnsi" w:hAnsiTheme="majorHAnsi" w:cstheme="majorHAnsi"/>
              </w:rPr>
              <w:t>Committee</w:t>
            </w:r>
          </w:p>
        </w:tc>
        <w:tc>
          <w:tcPr>
            <w:tcW w:w="6790" w:type="dxa"/>
            <w:tcBorders>
              <w:top w:val="single" w:sz="2" w:space="0" w:color="auto"/>
              <w:left w:val="single" w:sz="2" w:space="0" w:color="auto"/>
              <w:bottom w:val="single" w:sz="2" w:space="0" w:color="auto"/>
              <w:right w:val="single" w:sz="2" w:space="0" w:color="auto"/>
            </w:tcBorders>
          </w:tcPr>
          <w:p w14:paraId="35F4F625" w14:textId="64574087" w:rsidR="00B92A39" w:rsidRPr="00A134AE" w:rsidRDefault="006B7367" w:rsidP="00877512">
            <w:pPr>
              <w:contextualSpacing/>
              <w:rPr>
                <w:rFonts w:asciiTheme="majorHAnsi" w:hAnsiTheme="majorHAnsi" w:cstheme="majorHAnsi"/>
                <w:bCs/>
              </w:rPr>
            </w:pPr>
            <w:r w:rsidRPr="00A134AE">
              <w:rPr>
                <w:rFonts w:asciiTheme="majorHAnsi" w:hAnsiTheme="majorHAnsi" w:cstheme="majorHAnsi"/>
                <w:bCs/>
              </w:rPr>
              <w:t>Health, Education, Labor</w:t>
            </w:r>
            <w:r w:rsidR="00370BF4" w:rsidRPr="00A134AE">
              <w:rPr>
                <w:rFonts w:asciiTheme="majorHAnsi" w:hAnsiTheme="majorHAnsi" w:cstheme="majorHAnsi"/>
                <w:bCs/>
              </w:rPr>
              <w:t xml:space="preserve"> and Pensions</w:t>
            </w:r>
          </w:p>
        </w:tc>
      </w:tr>
      <w:tr w:rsidR="00877512" w:rsidRPr="00A134AE" w14:paraId="0660FC7A" w14:textId="77777777" w:rsidTr="00DB2BD8">
        <w:tc>
          <w:tcPr>
            <w:tcW w:w="267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DAF633" w14:textId="4F98C311" w:rsidR="00877512" w:rsidRPr="00A134AE" w:rsidRDefault="00877512" w:rsidP="00877512">
            <w:pPr>
              <w:contextualSpacing/>
              <w:rPr>
                <w:rFonts w:asciiTheme="majorHAnsi" w:hAnsiTheme="majorHAnsi" w:cstheme="majorHAnsi"/>
              </w:rPr>
            </w:pPr>
            <w:r w:rsidRPr="00A134AE">
              <w:rPr>
                <w:rFonts w:asciiTheme="majorHAnsi" w:hAnsiTheme="majorHAnsi" w:cstheme="majorHAnsi"/>
              </w:rPr>
              <w:t>Agency Mission</w:t>
            </w:r>
          </w:p>
        </w:tc>
        <w:tc>
          <w:tcPr>
            <w:tcW w:w="6790" w:type="dxa"/>
            <w:tcBorders>
              <w:top w:val="single" w:sz="2" w:space="0" w:color="auto"/>
              <w:left w:val="single" w:sz="2" w:space="0" w:color="auto"/>
              <w:bottom w:val="single" w:sz="2" w:space="0" w:color="auto"/>
              <w:right w:val="single" w:sz="2" w:space="0" w:color="auto"/>
            </w:tcBorders>
          </w:tcPr>
          <w:p w14:paraId="54240F04" w14:textId="65DCDED6" w:rsidR="00877512" w:rsidRPr="00A134AE" w:rsidRDefault="00877512" w:rsidP="00877512">
            <w:pPr>
              <w:contextualSpacing/>
              <w:rPr>
                <w:rFonts w:asciiTheme="majorHAnsi" w:hAnsiTheme="majorHAnsi" w:cstheme="majorHAnsi"/>
                <w:bCs/>
              </w:rPr>
            </w:pPr>
            <w:r w:rsidRPr="00A134AE">
              <w:rPr>
                <w:rFonts w:asciiTheme="majorHAnsi" w:hAnsiTheme="majorHAnsi" w:cstheme="majorHAnsi"/>
                <w:bCs/>
              </w:rPr>
              <w:t>To promote student achievement and preparation for global competitiveness by fostering educational excellence and ensuring equal access.</w:t>
            </w:r>
            <w:r w:rsidRPr="00A134AE">
              <w:rPr>
                <w:rFonts w:asciiTheme="majorHAnsi" w:hAnsiTheme="majorHAnsi" w:cstheme="majorHAnsi"/>
                <w:bCs/>
                <w:vertAlign w:val="superscript"/>
              </w:rPr>
              <w:endnoteReference w:id="1"/>
            </w:r>
          </w:p>
        </w:tc>
      </w:tr>
      <w:tr w:rsidR="00877512" w:rsidRPr="00A134AE" w14:paraId="4E0A0F15" w14:textId="77777777" w:rsidTr="00DB2BD8">
        <w:tc>
          <w:tcPr>
            <w:tcW w:w="267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C276A3" w14:textId="55EADBF1" w:rsidR="00661AE5" w:rsidRPr="00A134AE" w:rsidRDefault="00661AE5" w:rsidP="00877512">
            <w:pPr>
              <w:contextualSpacing/>
              <w:rPr>
                <w:rFonts w:asciiTheme="majorHAnsi" w:hAnsiTheme="majorHAnsi" w:cstheme="majorHAnsi"/>
              </w:rPr>
            </w:pPr>
            <w:r w:rsidRPr="00A134AE">
              <w:rPr>
                <w:rFonts w:asciiTheme="majorHAnsi" w:hAnsiTheme="majorHAnsi" w:cstheme="majorHAnsi"/>
              </w:rPr>
              <w:t>Position Overview</w:t>
            </w:r>
          </w:p>
        </w:tc>
        <w:tc>
          <w:tcPr>
            <w:tcW w:w="6790" w:type="dxa"/>
            <w:tcBorders>
              <w:top w:val="single" w:sz="2" w:space="0" w:color="auto"/>
              <w:left w:val="single" w:sz="2" w:space="0" w:color="auto"/>
              <w:bottom w:val="single" w:sz="2" w:space="0" w:color="auto"/>
              <w:right w:val="single" w:sz="2" w:space="0" w:color="auto"/>
            </w:tcBorders>
          </w:tcPr>
          <w:p w14:paraId="2C4E2C66" w14:textId="03696519" w:rsidR="00661AE5" w:rsidRPr="00A134AE" w:rsidRDefault="00370BF4" w:rsidP="00877512">
            <w:pPr>
              <w:contextualSpacing/>
              <w:rPr>
                <w:rFonts w:asciiTheme="majorHAnsi" w:hAnsiTheme="majorHAnsi" w:cstheme="majorHAnsi"/>
              </w:rPr>
            </w:pPr>
            <w:r w:rsidRPr="00A134AE">
              <w:rPr>
                <w:rFonts w:asciiTheme="majorHAnsi" w:hAnsiTheme="majorHAnsi" w:cstheme="majorHAnsi"/>
                <w:bCs/>
              </w:rPr>
              <w:t>The General Counse</w:t>
            </w:r>
            <w:r w:rsidR="009C544D" w:rsidRPr="00A134AE">
              <w:rPr>
                <w:rFonts w:asciiTheme="majorHAnsi" w:hAnsiTheme="majorHAnsi" w:cstheme="majorHAnsi"/>
                <w:bCs/>
              </w:rPr>
              <w:t>l serves as the principal advise</w:t>
            </w:r>
            <w:r w:rsidRPr="00A134AE">
              <w:rPr>
                <w:rFonts w:asciiTheme="majorHAnsi" w:hAnsiTheme="majorHAnsi" w:cstheme="majorHAnsi"/>
                <w:bCs/>
              </w:rPr>
              <w:t xml:space="preserve">r to the Secretary on all legal matters affecting Departmental programs and </w:t>
            </w:r>
            <w:r w:rsidR="00F27FD6" w:rsidRPr="00A134AE">
              <w:rPr>
                <w:rFonts w:asciiTheme="majorHAnsi" w:hAnsiTheme="majorHAnsi" w:cstheme="majorHAnsi"/>
                <w:bCs/>
              </w:rPr>
              <w:t>activities</w:t>
            </w:r>
            <w:r w:rsidRPr="00A134AE">
              <w:rPr>
                <w:rFonts w:asciiTheme="majorHAnsi" w:hAnsiTheme="majorHAnsi" w:cstheme="majorHAnsi"/>
                <w:bCs/>
              </w:rPr>
              <w:t>.</w:t>
            </w:r>
          </w:p>
        </w:tc>
      </w:tr>
      <w:tr w:rsidR="00877512" w:rsidRPr="00A134AE" w14:paraId="3F5BA370" w14:textId="77777777" w:rsidTr="00DB2BD8">
        <w:tc>
          <w:tcPr>
            <w:tcW w:w="267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F18426" w14:textId="57F37827" w:rsidR="008A05DD" w:rsidRPr="00A134AE" w:rsidRDefault="00661AE5" w:rsidP="00877512">
            <w:pPr>
              <w:contextualSpacing/>
              <w:rPr>
                <w:rFonts w:asciiTheme="majorHAnsi" w:hAnsiTheme="majorHAnsi" w:cstheme="majorHAnsi"/>
              </w:rPr>
            </w:pPr>
            <w:r w:rsidRPr="00A134AE">
              <w:rPr>
                <w:rFonts w:asciiTheme="majorHAnsi" w:hAnsiTheme="majorHAnsi" w:cstheme="majorHAnsi"/>
              </w:rPr>
              <w:t>Compensation</w:t>
            </w:r>
          </w:p>
        </w:tc>
        <w:tc>
          <w:tcPr>
            <w:tcW w:w="6790" w:type="dxa"/>
            <w:tcBorders>
              <w:top w:val="single" w:sz="2" w:space="0" w:color="auto"/>
              <w:left w:val="single" w:sz="2" w:space="0" w:color="auto"/>
              <w:bottom w:val="single" w:sz="2" w:space="0" w:color="auto"/>
              <w:right w:val="single" w:sz="2" w:space="0" w:color="auto"/>
            </w:tcBorders>
          </w:tcPr>
          <w:p w14:paraId="366798BF" w14:textId="2484BC56" w:rsidR="00661AE5" w:rsidRPr="00A134AE" w:rsidRDefault="006B7367" w:rsidP="000A7DA2">
            <w:pPr>
              <w:contextualSpacing/>
              <w:rPr>
                <w:rFonts w:asciiTheme="majorHAnsi" w:hAnsiTheme="majorHAnsi" w:cstheme="majorHAnsi"/>
              </w:rPr>
            </w:pPr>
            <w:r w:rsidRPr="00A134AE">
              <w:rPr>
                <w:rFonts w:asciiTheme="majorHAnsi" w:hAnsiTheme="majorHAnsi" w:cstheme="majorHAnsi"/>
                <w:bCs/>
              </w:rPr>
              <w:t>Level IV $</w:t>
            </w:r>
            <w:r w:rsidR="000A7DA2">
              <w:rPr>
                <w:rFonts w:asciiTheme="majorHAnsi" w:hAnsiTheme="majorHAnsi" w:cstheme="majorHAnsi"/>
                <w:bCs/>
              </w:rPr>
              <w:t>155,500</w:t>
            </w:r>
            <w:r w:rsidR="00771405" w:rsidRPr="00A134AE">
              <w:rPr>
                <w:rFonts w:asciiTheme="majorHAnsi" w:hAnsiTheme="majorHAnsi" w:cstheme="majorHAnsi"/>
                <w:bCs/>
              </w:rPr>
              <w:t xml:space="preserve"> (</w:t>
            </w:r>
            <w:r w:rsidR="00771405" w:rsidRPr="00A134AE">
              <w:rPr>
                <w:rFonts w:asciiTheme="majorHAnsi" w:hAnsiTheme="majorHAnsi" w:cstheme="majorHAnsi"/>
              </w:rPr>
              <w:t>5 U.S.C. § 5315)</w:t>
            </w:r>
            <w:r w:rsidRPr="00A134AE">
              <w:rPr>
                <w:rStyle w:val="EndnoteReference"/>
                <w:rFonts w:asciiTheme="majorHAnsi" w:hAnsiTheme="majorHAnsi" w:cstheme="majorHAnsi"/>
              </w:rPr>
              <w:endnoteReference w:id="2"/>
            </w:r>
          </w:p>
        </w:tc>
      </w:tr>
      <w:tr w:rsidR="00877512" w:rsidRPr="00A134AE" w14:paraId="21615C6D" w14:textId="77777777" w:rsidTr="00DB2BD8">
        <w:tc>
          <w:tcPr>
            <w:tcW w:w="267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99E78A" w14:textId="68031FDF" w:rsidR="00661AE5" w:rsidRPr="00A134AE" w:rsidRDefault="00661AE5" w:rsidP="00877512">
            <w:pPr>
              <w:contextualSpacing/>
              <w:rPr>
                <w:rFonts w:asciiTheme="majorHAnsi" w:hAnsiTheme="majorHAnsi" w:cstheme="majorHAnsi"/>
              </w:rPr>
            </w:pPr>
            <w:r w:rsidRPr="00A134AE">
              <w:rPr>
                <w:rFonts w:asciiTheme="majorHAnsi" w:hAnsiTheme="majorHAnsi" w:cstheme="majorHAnsi"/>
              </w:rPr>
              <w:t>Position Reports to</w:t>
            </w:r>
          </w:p>
        </w:tc>
        <w:tc>
          <w:tcPr>
            <w:tcW w:w="6790" w:type="dxa"/>
            <w:tcBorders>
              <w:top w:val="single" w:sz="2" w:space="0" w:color="auto"/>
              <w:left w:val="single" w:sz="2" w:space="0" w:color="auto"/>
              <w:bottom w:val="single" w:sz="2" w:space="0" w:color="auto"/>
              <w:right w:val="single" w:sz="2" w:space="0" w:color="auto"/>
            </w:tcBorders>
          </w:tcPr>
          <w:p w14:paraId="5BC25F34" w14:textId="5A71E0C8" w:rsidR="00661AE5" w:rsidRPr="00A134AE" w:rsidRDefault="00573B78" w:rsidP="00877512">
            <w:pPr>
              <w:contextualSpacing/>
              <w:rPr>
                <w:rFonts w:asciiTheme="majorHAnsi" w:hAnsiTheme="majorHAnsi" w:cstheme="majorHAnsi"/>
              </w:rPr>
            </w:pPr>
            <w:r w:rsidRPr="00A134AE">
              <w:rPr>
                <w:rFonts w:asciiTheme="majorHAnsi" w:hAnsiTheme="majorHAnsi" w:cstheme="majorHAnsi"/>
              </w:rPr>
              <w:t>Secretary</w:t>
            </w:r>
            <w:r w:rsidR="00877512" w:rsidRPr="00A134AE">
              <w:rPr>
                <w:rFonts w:asciiTheme="majorHAnsi" w:hAnsiTheme="majorHAnsi" w:cstheme="majorHAnsi"/>
              </w:rPr>
              <w:t xml:space="preserve"> of Education</w:t>
            </w:r>
          </w:p>
          <w:p w14:paraId="60546987" w14:textId="5DC95111" w:rsidR="00573B78" w:rsidRPr="00A134AE" w:rsidRDefault="00573B78" w:rsidP="00877512">
            <w:pPr>
              <w:contextualSpacing/>
              <w:rPr>
                <w:rFonts w:asciiTheme="majorHAnsi" w:hAnsiTheme="majorHAnsi" w:cstheme="majorHAnsi"/>
              </w:rPr>
            </w:pPr>
            <w:r w:rsidRPr="00A134AE">
              <w:rPr>
                <w:rFonts w:asciiTheme="majorHAnsi" w:hAnsiTheme="majorHAnsi" w:cstheme="majorHAnsi"/>
              </w:rPr>
              <w:t>Deputy Secretary of Education</w:t>
            </w:r>
          </w:p>
        </w:tc>
      </w:tr>
      <w:tr w:rsidR="00877512" w:rsidRPr="00A134AE" w14:paraId="2FFE5A7E" w14:textId="77777777" w:rsidTr="00DB2BD8">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15188EB" w14:textId="2EC575CF" w:rsidR="00661AE5" w:rsidRPr="00A134AE" w:rsidRDefault="00661AE5" w:rsidP="00877512">
            <w:pPr>
              <w:contextualSpacing/>
              <w:jc w:val="center"/>
              <w:rPr>
                <w:rFonts w:asciiTheme="majorHAnsi" w:hAnsiTheme="majorHAnsi" w:cstheme="majorHAnsi"/>
                <w:b/>
              </w:rPr>
            </w:pPr>
            <w:r w:rsidRPr="00A134AE">
              <w:rPr>
                <w:rFonts w:asciiTheme="majorHAnsi" w:hAnsiTheme="majorHAnsi" w:cstheme="majorHAnsi"/>
                <w:b/>
              </w:rPr>
              <w:t>RESPONSIBILITIES</w:t>
            </w:r>
          </w:p>
        </w:tc>
      </w:tr>
      <w:tr w:rsidR="00877512" w:rsidRPr="00A134AE" w14:paraId="3DDA92B5" w14:textId="77777777" w:rsidTr="00DB2BD8">
        <w:tc>
          <w:tcPr>
            <w:tcW w:w="267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E25350" w14:textId="684546B6" w:rsidR="00661AE5" w:rsidRPr="00A134AE" w:rsidRDefault="00661AE5" w:rsidP="00877512">
            <w:pPr>
              <w:contextualSpacing/>
              <w:rPr>
                <w:rFonts w:asciiTheme="majorHAnsi" w:hAnsiTheme="majorHAnsi" w:cstheme="majorHAnsi"/>
              </w:rPr>
            </w:pPr>
            <w:r w:rsidRPr="00A134AE">
              <w:rPr>
                <w:rFonts w:asciiTheme="majorHAnsi" w:hAnsiTheme="majorHAnsi" w:cstheme="majorHAnsi"/>
              </w:rPr>
              <w:t>Management Scope</w:t>
            </w:r>
          </w:p>
        </w:tc>
        <w:tc>
          <w:tcPr>
            <w:tcW w:w="6790" w:type="dxa"/>
            <w:tcBorders>
              <w:top w:val="single" w:sz="2" w:space="0" w:color="auto"/>
              <w:left w:val="single" w:sz="2" w:space="0" w:color="auto"/>
              <w:bottom w:val="single" w:sz="2" w:space="0" w:color="auto"/>
              <w:right w:val="single" w:sz="2" w:space="0" w:color="auto"/>
            </w:tcBorders>
          </w:tcPr>
          <w:p w14:paraId="44A30A9A" w14:textId="74DF10F3" w:rsidR="00661AE5" w:rsidRPr="00A134AE" w:rsidRDefault="006B7367" w:rsidP="00877512">
            <w:pPr>
              <w:contextualSpacing/>
              <w:rPr>
                <w:rFonts w:asciiTheme="majorHAnsi" w:hAnsiTheme="majorHAnsi" w:cstheme="majorHAnsi"/>
                <w:bCs/>
              </w:rPr>
            </w:pPr>
            <w:r w:rsidRPr="00A134AE">
              <w:rPr>
                <w:rFonts w:asciiTheme="majorHAnsi" w:hAnsiTheme="majorHAnsi" w:cstheme="majorHAnsi"/>
                <w:bCs/>
              </w:rPr>
              <w:t>In fiscal</w:t>
            </w:r>
            <w:r w:rsidR="00877512" w:rsidRPr="00A134AE">
              <w:rPr>
                <w:rFonts w:asciiTheme="majorHAnsi" w:hAnsiTheme="majorHAnsi" w:cstheme="majorHAnsi"/>
                <w:bCs/>
              </w:rPr>
              <w:t xml:space="preserve"> 2015, the Department of Education had $90,029 million in outlays and 3,862 total employment.</w:t>
            </w:r>
            <w:r w:rsidR="00877512" w:rsidRPr="00A134AE">
              <w:rPr>
                <w:rFonts w:asciiTheme="majorHAnsi" w:hAnsiTheme="majorHAnsi" w:cstheme="majorHAnsi"/>
                <w:bCs/>
                <w:vertAlign w:val="superscript"/>
              </w:rPr>
              <w:endnoteReference w:id="3"/>
            </w:r>
            <w:r w:rsidR="00877512" w:rsidRPr="00A134AE">
              <w:rPr>
                <w:rFonts w:asciiTheme="majorHAnsi" w:hAnsiTheme="majorHAnsi" w:cstheme="majorHAnsi"/>
                <w:bCs/>
              </w:rPr>
              <w:t xml:space="preserve"> </w:t>
            </w:r>
            <w:r w:rsidR="0081586C" w:rsidRPr="00A134AE">
              <w:rPr>
                <w:rFonts w:asciiTheme="majorHAnsi" w:hAnsiTheme="majorHAnsi" w:cstheme="majorHAnsi"/>
                <w:bCs/>
              </w:rPr>
              <w:t>The Office of the General Counsel has three legal practice areas, each of which is headed by a Deputy General Counsel, and an operations management staff, h</w:t>
            </w:r>
            <w:r w:rsidR="00877512" w:rsidRPr="00A134AE">
              <w:rPr>
                <w:rFonts w:asciiTheme="majorHAnsi" w:hAnsiTheme="majorHAnsi" w:cstheme="majorHAnsi"/>
                <w:bCs/>
              </w:rPr>
              <w:t xml:space="preserve">eaded by an Executive Officer. </w:t>
            </w:r>
            <w:r w:rsidRPr="00A134AE">
              <w:rPr>
                <w:rFonts w:asciiTheme="majorHAnsi" w:hAnsiTheme="majorHAnsi" w:cstheme="majorHAnsi"/>
                <w:bCs/>
              </w:rPr>
              <w:t>The Office’s seven d</w:t>
            </w:r>
            <w:r w:rsidR="0081586C" w:rsidRPr="00A134AE">
              <w:rPr>
                <w:rFonts w:asciiTheme="majorHAnsi" w:hAnsiTheme="majorHAnsi" w:cstheme="majorHAnsi"/>
                <w:bCs/>
              </w:rPr>
              <w:t>ivisions are organized under these areas: Immediate Office of the General Counsel; Program Service; Departmental Law and Postsecondary Education; and Ethics, Legislative, and Regulatory Services.</w:t>
            </w:r>
          </w:p>
        </w:tc>
      </w:tr>
      <w:tr w:rsidR="00877512" w:rsidRPr="00A134AE" w14:paraId="3B124A6F" w14:textId="77777777" w:rsidTr="00DB2BD8">
        <w:tc>
          <w:tcPr>
            <w:tcW w:w="267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3AFEA7" w14:textId="44B69D04" w:rsidR="00661AE5" w:rsidRPr="00A134AE" w:rsidRDefault="00661AE5" w:rsidP="00877512">
            <w:pPr>
              <w:contextualSpacing/>
              <w:rPr>
                <w:rFonts w:asciiTheme="majorHAnsi" w:hAnsiTheme="majorHAnsi" w:cstheme="majorHAnsi"/>
              </w:rPr>
            </w:pPr>
            <w:r w:rsidRPr="00A134AE">
              <w:rPr>
                <w:rFonts w:asciiTheme="majorHAnsi" w:hAnsiTheme="majorHAnsi" w:cstheme="majorHAnsi"/>
              </w:rPr>
              <w:t>Primary Responsibilities</w:t>
            </w:r>
          </w:p>
        </w:tc>
        <w:tc>
          <w:tcPr>
            <w:tcW w:w="6790" w:type="dxa"/>
            <w:tcBorders>
              <w:top w:val="single" w:sz="2" w:space="0" w:color="auto"/>
              <w:left w:val="single" w:sz="2" w:space="0" w:color="auto"/>
              <w:bottom w:val="single" w:sz="2" w:space="0" w:color="auto"/>
              <w:right w:val="single" w:sz="2" w:space="0" w:color="auto"/>
            </w:tcBorders>
          </w:tcPr>
          <w:p w14:paraId="34593D61" w14:textId="77777777" w:rsidR="00746237" w:rsidRPr="00A134AE" w:rsidRDefault="00746237" w:rsidP="00877512">
            <w:pPr>
              <w:pStyle w:val="ListParagraph"/>
              <w:numPr>
                <w:ilvl w:val="0"/>
                <w:numId w:val="34"/>
              </w:numPr>
              <w:spacing w:after="0"/>
              <w:rPr>
                <w:rFonts w:asciiTheme="majorHAnsi" w:hAnsiTheme="majorHAnsi" w:cstheme="majorHAnsi"/>
              </w:rPr>
            </w:pPr>
            <w:r w:rsidRPr="00A134AE">
              <w:rPr>
                <w:rFonts w:asciiTheme="majorHAnsi" w:hAnsiTheme="majorHAnsi" w:cstheme="majorHAnsi"/>
              </w:rPr>
              <w:t>Provides legal advice and services to the Secretary, Deputy Secretary, and the Principal Officers of the U.S. Department of Education, as well as any other person authorized to request that advice or those services.</w:t>
            </w:r>
          </w:p>
          <w:p w14:paraId="2D7C35B9" w14:textId="77777777" w:rsidR="00746237" w:rsidRPr="00A134AE" w:rsidRDefault="00746237" w:rsidP="00877512">
            <w:pPr>
              <w:pStyle w:val="ListParagraph"/>
              <w:numPr>
                <w:ilvl w:val="0"/>
                <w:numId w:val="34"/>
              </w:numPr>
              <w:spacing w:after="0"/>
              <w:rPr>
                <w:rFonts w:asciiTheme="majorHAnsi" w:hAnsiTheme="majorHAnsi" w:cstheme="majorHAnsi"/>
              </w:rPr>
            </w:pPr>
            <w:r w:rsidRPr="00A134AE">
              <w:rPr>
                <w:rFonts w:asciiTheme="majorHAnsi" w:hAnsiTheme="majorHAnsi" w:cstheme="majorHAnsi"/>
              </w:rPr>
              <w:t>Prepares or reviews for legal form and effect public documents, rules, and Federal Register Notices issued by the Department, and legal instruments entered into by the Department.</w:t>
            </w:r>
          </w:p>
          <w:p w14:paraId="56459BD7" w14:textId="77777777" w:rsidR="00493BBB" w:rsidRPr="00A134AE" w:rsidRDefault="00746237" w:rsidP="00877512">
            <w:pPr>
              <w:pStyle w:val="ListParagraph"/>
              <w:numPr>
                <w:ilvl w:val="0"/>
                <w:numId w:val="34"/>
              </w:numPr>
              <w:spacing w:after="0"/>
              <w:rPr>
                <w:rFonts w:asciiTheme="majorHAnsi" w:hAnsiTheme="majorHAnsi" w:cstheme="majorHAnsi"/>
                <w:lang w:eastAsia="zh-CN"/>
              </w:rPr>
            </w:pPr>
            <w:r w:rsidRPr="00A134AE">
              <w:rPr>
                <w:rFonts w:asciiTheme="majorHAnsi" w:hAnsiTheme="majorHAnsi" w:cstheme="majorHAnsi"/>
              </w:rPr>
              <w:t>Represents the Secretary, the Department, or any of its officers or units in court or administrative litigation, except for administrative proceedings initiated by the Office for Civil Rights.</w:t>
            </w:r>
          </w:p>
          <w:p w14:paraId="5A3325E7" w14:textId="477864C4" w:rsidR="00746237" w:rsidRPr="00A134AE" w:rsidRDefault="00746237" w:rsidP="00877512">
            <w:pPr>
              <w:pStyle w:val="ListParagraph"/>
              <w:numPr>
                <w:ilvl w:val="0"/>
                <w:numId w:val="34"/>
              </w:numPr>
              <w:spacing w:after="0"/>
              <w:rPr>
                <w:rFonts w:asciiTheme="majorHAnsi" w:hAnsiTheme="majorHAnsi" w:cstheme="majorHAnsi"/>
                <w:lang w:eastAsia="zh-CN"/>
              </w:rPr>
            </w:pPr>
            <w:r w:rsidRPr="00A134AE">
              <w:rPr>
                <w:rFonts w:asciiTheme="majorHAnsi" w:hAnsiTheme="majorHAnsi" w:cstheme="majorHAnsi"/>
                <w:lang w:eastAsia="zh-CN"/>
              </w:rPr>
              <w:t>Serves as liaison to other Federal agencies in connection with legal matters involving the Department.</w:t>
            </w:r>
          </w:p>
          <w:p w14:paraId="7741E24F" w14:textId="77777777" w:rsidR="00746237" w:rsidRPr="00A134AE" w:rsidRDefault="00746237" w:rsidP="00877512">
            <w:pPr>
              <w:numPr>
                <w:ilvl w:val="0"/>
                <w:numId w:val="34"/>
              </w:numPr>
              <w:contextualSpacing/>
              <w:rPr>
                <w:rFonts w:asciiTheme="majorHAnsi" w:hAnsiTheme="majorHAnsi" w:cstheme="majorHAnsi"/>
                <w:lang w:eastAsia="zh-CN"/>
              </w:rPr>
            </w:pPr>
            <w:r w:rsidRPr="00A134AE">
              <w:rPr>
                <w:rFonts w:asciiTheme="majorHAnsi" w:hAnsiTheme="majorHAnsi" w:cstheme="majorHAnsi"/>
                <w:lang w:eastAsia="zh-CN"/>
              </w:rPr>
              <w:t>Drafts legislative proposals originating in the Department and reviews the legal aspects of proposed or pending legislation.</w:t>
            </w:r>
          </w:p>
          <w:p w14:paraId="3593F745" w14:textId="77777777" w:rsidR="00746237" w:rsidRPr="00A134AE" w:rsidRDefault="00746237" w:rsidP="00877512">
            <w:pPr>
              <w:numPr>
                <w:ilvl w:val="0"/>
                <w:numId w:val="34"/>
              </w:numPr>
              <w:contextualSpacing/>
              <w:rPr>
                <w:rFonts w:asciiTheme="majorHAnsi" w:hAnsiTheme="majorHAnsi" w:cstheme="majorHAnsi"/>
                <w:lang w:eastAsia="zh-CN"/>
              </w:rPr>
            </w:pPr>
            <w:r w:rsidRPr="00A134AE">
              <w:rPr>
                <w:rFonts w:asciiTheme="majorHAnsi" w:hAnsiTheme="majorHAnsi" w:cstheme="majorHAnsi"/>
                <w:lang w:eastAsia="zh-CN"/>
              </w:rPr>
              <w:t>Leads and manages the regulatory function of the Department and drafts selected regulations.</w:t>
            </w:r>
          </w:p>
          <w:p w14:paraId="0881F49A" w14:textId="77777777" w:rsidR="00746237" w:rsidRPr="00A134AE" w:rsidRDefault="00746237" w:rsidP="00877512">
            <w:pPr>
              <w:numPr>
                <w:ilvl w:val="0"/>
                <w:numId w:val="34"/>
              </w:numPr>
              <w:contextualSpacing/>
              <w:rPr>
                <w:rFonts w:asciiTheme="majorHAnsi" w:hAnsiTheme="majorHAnsi" w:cstheme="majorHAnsi"/>
                <w:lang w:eastAsia="zh-CN"/>
              </w:rPr>
            </w:pPr>
            <w:r w:rsidRPr="00A134AE">
              <w:rPr>
                <w:rFonts w:asciiTheme="majorHAnsi" w:hAnsiTheme="majorHAnsi" w:cstheme="majorHAnsi"/>
                <w:lang w:eastAsia="zh-CN"/>
              </w:rPr>
              <w:lastRenderedPageBreak/>
              <w:t>Prepares or reviews pleadings, briefs, memoranda, and other legal documents for proceedings involving the Department or requested by other Government agencies for use in proceedings, except for administrative proceedings initiated by the Office for Civil Rights.</w:t>
            </w:r>
          </w:p>
          <w:p w14:paraId="7C9165F3" w14:textId="77777777" w:rsidR="00746237" w:rsidRPr="00A134AE" w:rsidRDefault="00746237" w:rsidP="00877512">
            <w:pPr>
              <w:numPr>
                <w:ilvl w:val="0"/>
                <w:numId w:val="34"/>
              </w:numPr>
              <w:contextualSpacing/>
              <w:rPr>
                <w:rFonts w:asciiTheme="majorHAnsi" w:hAnsiTheme="majorHAnsi" w:cstheme="majorHAnsi"/>
                <w:lang w:eastAsia="zh-CN"/>
              </w:rPr>
            </w:pPr>
            <w:r w:rsidRPr="00A134AE">
              <w:rPr>
                <w:rFonts w:asciiTheme="majorHAnsi" w:hAnsiTheme="majorHAnsi" w:cstheme="majorHAnsi"/>
                <w:lang w:eastAsia="zh-CN"/>
              </w:rPr>
              <w:t>Coordinates and manages the Department's ethics program and provides Department-wide ethics advice and training.</w:t>
            </w:r>
          </w:p>
          <w:p w14:paraId="4347F86D" w14:textId="5DE905A2" w:rsidR="00746237" w:rsidRPr="00A134AE" w:rsidRDefault="00746237" w:rsidP="00877512">
            <w:pPr>
              <w:numPr>
                <w:ilvl w:val="0"/>
                <w:numId w:val="34"/>
              </w:numPr>
              <w:contextualSpacing/>
              <w:rPr>
                <w:rFonts w:asciiTheme="majorHAnsi" w:hAnsiTheme="majorHAnsi" w:cstheme="majorHAnsi"/>
                <w:lang w:eastAsia="zh-CN"/>
              </w:rPr>
            </w:pPr>
            <w:r w:rsidRPr="00A134AE">
              <w:rPr>
                <w:rFonts w:asciiTheme="majorHAnsi" w:hAnsiTheme="majorHAnsi" w:cstheme="majorHAnsi"/>
                <w:lang w:eastAsia="zh-CN"/>
              </w:rPr>
              <w:t>Serves as the Department's Claims Officer under the Federal Tort Claims Act and the Military Personnel and Civilian Employees Claims Act of 1964.</w:t>
            </w:r>
          </w:p>
        </w:tc>
      </w:tr>
      <w:tr w:rsidR="00877512" w:rsidRPr="00A134AE" w14:paraId="6A67A3DB" w14:textId="77777777" w:rsidTr="00DB2BD8">
        <w:tc>
          <w:tcPr>
            <w:tcW w:w="267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EB43E2" w14:textId="1923A11F" w:rsidR="00661AE5" w:rsidRPr="00A134AE" w:rsidRDefault="00661AE5" w:rsidP="00877512">
            <w:pPr>
              <w:contextualSpacing/>
              <w:rPr>
                <w:rFonts w:asciiTheme="majorHAnsi" w:hAnsiTheme="majorHAnsi" w:cstheme="majorHAnsi"/>
              </w:rPr>
            </w:pPr>
            <w:r w:rsidRPr="00A134AE">
              <w:rPr>
                <w:rFonts w:asciiTheme="majorHAnsi" w:hAnsiTheme="majorHAnsi" w:cstheme="majorHAnsi"/>
              </w:rPr>
              <w:lastRenderedPageBreak/>
              <w:t>Strategic Goals and Priorities</w:t>
            </w:r>
          </w:p>
        </w:tc>
        <w:tc>
          <w:tcPr>
            <w:tcW w:w="6790" w:type="dxa"/>
            <w:tcBorders>
              <w:top w:val="single" w:sz="2" w:space="0" w:color="auto"/>
              <w:left w:val="single" w:sz="2" w:space="0" w:color="auto"/>
              <w:bottom w:val="single" w:sz="2" w:space="0" w:color="auto"/>
              <w:right w:val="single" w:sz="2" w:space="0" w:color="auto"/>
            </w:tcBorders>
            <w:vAlign w:val="center"/>
          </w:tcPr>
          <w:p w14:paraId="4F6D0CDA" w14:textId="77777777" w:rsidR="0039752D" w:rsidRPr="00A134AE" w:rsidRDefault="0039752D" w:rsidP="00877512">
            <w:pPr>
              <w:ind w:left="72"/>
              <w:contextualSpacing/>
              <w:jc w:val="center"/>
              <w:rPr>
                <w:rFonts w:asciiTheme="majorHAnsi" w:hAnsiTheme="majorHAnsi" w:cstheme="majorHAnsi"/>
              </w:rPr>
            </w:pPr>
          </w:p>
          <w:p w14:paraId="2592F6FE" w14:textId="77777777" w:rsidR="0039752D" w:rsidRPr="00A134AE" w:rsidRDefault="0039752D" w:rsidP="00877512">
            <w:pPr>
              <w:ind w:left="72"/>
              <w:contextualSpacing/>
              <w:jc w:val="center"/>
              <w:rPr>
                <w:rFonts w:asciiTheme="majorHAnsi" w:hAnsiTheme="majorHAnsi" w:cstheme="majorHAnsi"/>
              </w:rPr>
            </w:pPr>
          </w:p>
          <w:p w14:paraId="121A220D" w14:textId="77777777" w:rsidR="00661AE5" w:rsidRPr="00A134AE" w:rsidRDefault="00661AE5" w:rsidP="00877512">
            <w:pPr>
              <w:ind w:left="72"/>
              <w:contextualSpacing/>
              <w:jc w:val="center"/>
              <w:rPr>
                <w:rFonts w:asciiTheme="majorHAnsi" w:hAnsiTheme="majorHAnsi" w:cstheme="majorHAnsi"/>
              </w:rPr>
            </w:pPr>
            <w:r w:rsidRPr="00A134AE">
              <w:rPr>
                <w:rFonts w:asciiTheme="majorHAnsi" w:hAnsiTheme="majorHAnsi" w:cstheme="majorHAnsi"/>
              </w:rPr>
              <w:t>[Insert relevant policy priorities of incoming administration]</w:t>
            </w:r>
          </w:p>
          <w:p w14:paraId="0B220C2B" w14:textId="77777777" w:rsidR="0039752D" w:rsidRPr="00A134AE" w:rsidRDefault="0039752D" w:rsidP="00877512">
            <w:pPr>
              <w:ind w:left="72"/>
              <w:contextualSpacing/>
              <w:jc w:val="center"/>
              <w:rPr>
                <w:rFonts w:asciiTheme="majorHAnsi" w:hAnsiTheme="majorHAnsi" w:cstheme="majorHAnsi"/>
              </w:rPr>
            </w:pPr>
          </w:p>
          <w:p w14:paraId="5F982245" w14:textId="02F6CCB5" w:rsidR="003E06B9" w:rsidRPr="00A134AE" w:rsidRDefault="003E06B9" w:rsidP="00877512">
            <w:pPr>
              <w:ind w:left="72"/>
              <w:contextualSpacing/>
              <w:jc w:val="center"/>
              <w:rPr>
                <w:rFonts w:asciiTheme="majorHAnsi" w:hAnsiTheme="majorHAnsi" w:cstheme="majorHAnsi"/>
              </w:rPr>
            </w:pPr>
          </w:p>
        </w:tc>
      </w:tr>
      <w:tr w:rsidR="00877512" w:rsidRPr="00A134AE" w14:paraId="6A94A8E5" w14:textId="77777777" w:rsidTr="00DB2BD8">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7CDF6F" w14:textId="00D7D215" w:rsidR="00661AE5" w:rsidRPr="00A134AE" w:rsidRDefault="00661AE5" w:rsidP="00877512">
            <w:pPr>
              <w:contextualSpacing/>
              <w:jc w:val="center"/>
              <w:rPr>
                <w:rFonts w:asciiTheme="majorHAnsi" w:hAnsiTheme="majorHAnsi" w:cstheme="majorHAnsi"/>
                <w:b/>
              </w:rPr>
            </w:pPr>
            <w:r w:rsidRPr="00A134AE">
              <w:rPr>
                <w:rFonts w:asciiTheme="majorHAnsi" w:hAnsiTheme="majorHAnsi" w:cstheme="majorHAnsi"/>
                <w:b/>
              </w:rPr>
              <w:t>REQUIREMENTS AND COMPETENCIES</w:t>
            </w:r>
          </w:p>
        </w:tc>
      </w:tr>
      <w:tr w:rsidR="00877512" w:rsidRPr="00A134AE" w14:paraId="6315085C" w14:textId="77777777" w:rsidTr="00DB2BD8">
        <w:tc>
          <w:tcPr>
            <w:tcW w:w="267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2057E5" w14:textId="69919FA1" w:rsidR="00661AE5" w:rsidRPr="00A134AE" w:rsidRDefault="00661AE5" w:rsidP="00877512">
            <w:pPr>
              <w:contextualSpacing/>
              <w:rPr>
                <w:rFonts w:asciiTheme="majorHAnsi" w:hAnsiTheme="majorHAnsi" w:cstheme="majorHAnsi"/>
              </w:rPr>
            </w:pPr>
            <w:r w:rsidRPr="00A134AE">
              <w:rPr>
                <w:rFonts w:asciiTheme="majorHAnsi" w:hAnsiTheme="majorHAnsi" w:cstheme="majorHAnsi"/>
              </w:rPr>
              <w:t>Requirements</w:t>
            </w:r>
          </w:p>
        </w:tc>
        <w:tc>
          <w:tcPr>
            <w:tcW w:w="6790" w:type="dxa"/>
            <w:tcBorders>
              <w:top w:val="single" w:sz="2" w:space="0" w:color="auto"/>
              <w:left w:val="single" w:sz="2" w:space="0" w:color="auto"/>
              <w:bottom w:val="single" w:sz="2" w:space="0" w:color="auto"/>
              <w:right w:val="single" w:sz="2" w:space="0" w:color="auto"/>
            </w:tcBorders>
          </w:tcPr>
          <w:p w14:paraId="45A35DE6" w14:textId="13F412E4" w:rsidR="00C52E88" w:rsidRPr="00A134AE" w:rsidRDefault="00493BBB" w:rsidP="00877512">
            <w:pPr>
              <w:pStyle w:val="ListParagraph"/>
              <w:numPr>
                <w:ilvl w:val="0"/>
                <w:numId w:val="31"/>
              </w:numPr>
              <w:spacing w:after="0"/>
              <w:rPr>
                <w:rFonts w:asciiTheme="majorHAnsi" w:hAnsiTheme="majorHAnsi" w:cstheme="majorHAnsi"/>
                <w:b/>
                <w:bCs/>
                <w:u w:val="single"/>
              </w:rPr>
            </w:pPr>
            <w:r w:rsidRPr="00A134AE">
              <w:rPr>
                <w:rFonts w:asciiTheme="majorHAnsi" w:hAnsiTheme="majorHAnsi" w:cstheme="majorHAnsi"/>
                <w:bCs/>
              </w:rPr>
              <w:t>Accomplished and widely respected</w:t>
            </w:r>
            <w:r w:rsidR="00710CAF" w:rsidRPr="00A134AE">
              <w:rPr>
                <w:rFonts w:asciiTheme="majorHAnsi" w:hAnsiTheme="majorHAnsi" w:cstheme="majorHAnsi"/>
                <w:bCs/>
              </w:rPr>
              <w:t xml:space="preserve"> attorney with experience serving as a key and t</w:t>
            </w:r>
            <w:r w:rsidR="000779F4" w:rsidRPr="00A134AE">
              <w:rPr>
                <w:rFonts w:asciiTheme="majorHAnsi" w:hAnsiTheme="majorHAnsi" w:cstheme="majorHAnsi"/>
                <w:bCs/>
              </w:rPr>
              <w:t>rusted advisor to executive leadership</w:t>
            </w:r>
            <w:r w:rsidRPr="00A134AE">
              <w:rPr>
                <w:rFonts w:asciiTheme="majorHAnsi" w:hAnsiTheme="majorHAnsi" w:cstheme="majorHAnsi"/>
                <w:bCs/>
              </w:rPr>
              <w:t>/clients</w:t>
            </w:r>
          </w:p>
          <w:p w14:paraId="669B1DF1" w14:textId="7D62EE1D" w:rsidR="00661AE5" w:rsidRPr="00A134AE" w:rsidRDefault="00C52E88" w:rsidP="00877512">
            <w:pPr>
              <w:pStyle w:val="ListParagraph"/>
              <w:numPr>
                <w:ilvl w:val="0"/>
                <w:numId w:val="31"/>
              </w:numPr>
              <w:spacing w:after="0"/>
              <w:rPr>
                <w:rFonts w:asciiTheme="majorHAnsi" w:hAnsiTheme="majorHAnsi" w:cstheme="majorHAnsi"/>
                <w:b/>
                <w:bCs/>
                <w:u w:val="single"/>
              </w:rPr>
            </w:pPr>
            <w:r w:rsidRPr="00A134AE">
              <w:rPr>
                <w:rFonts w:asciiTheme="majorHAnsi" w:hAnsiTheme="majorHAnsi" w:cstheme="majorHAnsi"/>
                <w:bCs/>
              </w:rPr>
              <w:t>Background in education, either K-12 or Higher Ed</w:t>
            </w:r>
          </w:p>
          <w:p w14:paraId="5BDACB84" w14:textId="6947FA61" w:rsidR="00661AE5" w:rsidRPr="00A134AE" w:rsidRDefault="00C52E88" w:rsidP="00877512">
            <w:pPr>
              <w:pStyle w:val="ListParagraph"/>
              <w:numPr>
                <w:ilvl w:val="0"/>
                <w:numId w:val="31"/>
              </w:numPr>
              <w:spacing w:after="0"/>
              <w:rPr>
                <w:rFonts w:asciiTheme="majorHAnsi" w:hAnsiTheme="majorHAnsi" w:cstheme="majorHAnsi"/>
                <w:b/>
                <w:bCs/>
                <w:u w:val="single"/>
              </w:rPr>
            </w:pPr>
            <w:r w:rsidRPr="00A134AE">
              <w:rPr>
                <w:rFonts w:asciiTheme="majorHAnsi" w:hAnsiTheme="majorHAnsi" w:cstheme="majorHAnsi"/>
                <w:bCs/>
              </w:rPr>
              <w:t>Experience/understanding of</w:t>
            </w:r>
            <w:r w:rsidR="000779F4" w:rsidRPr="00A134AE">
              <w:rPr>
                <w:rFonts w:asciiTheme="majorHAnsi" w:hAnsiTheme="majorHAnsi" w:cstheme="majorHAnsi"/>
                <w:bCs/>
              </w:rPr>
              <w:t xml:space="preserve"> education policy and related</w:t>
            </w:r>
            <w:r w:rsidRPr="00A134AE">
              <w:rPr>
                <w:rFonts w:asciiTheme="majorHAnsi" w:hAnsiTheme="majorHAnsi" w:cstheme="majorHAnsi"/>
                <w:bCs/>
              </w:rPr>
              <w:t xml:space="preserve"> regulatory issues</w:t>
            </w:r>
          </w:p>
          <w:p w14:paraId="1457211A" w14:textId="6DD87641" w:rsidR="002F030D" w:rsidRPr="00A134AE" w:rsidRDefault="002F030D" w:rsidP="00877512">
            <w:pPr>
              <w:pStyle w:val="ListParagraph"/>
              <w:numPr>
                <w:ilvl w:val="0"/>
                <w:numId w:val="31"/>
              </w:numPr>
              <w:spacing w:after="0"/>
              <w:rPr>
                <w:rFonts w:asciiTheme="majorHAnsi" w:hAnsiTheme="majorHAnsi" w:cstheme="majorHAnsi"/>
                <w:b/>
                <w:bCs/>
                <w:u w:val="single"/>
              </w:rPr>
            </w:pPr>
            <w:r w:rsidRPr="00A134AE">
              <w:rPr>
                <w:rFonts w:asciiTheme="majorHAnsi" w:hAnsiTheme="majorHAnsi" w:cstheme="majorHAnsi"/>
                <w:bCs/>
              </w:rPr>
              <w:t>Proven track record of addressing complex legal matters across a spectrum of issue areas</w:t>
            </w:r>
          </w:p>
          <w:p w14:paraId="47D8CBF3" w14:textId="610C3614" w:rsidR="00C52E88" w:rsidRPr="00A134AE" w:rsidRDefault="00710CAF" w:rsidP="00877512">
            <w:pPr>
              <w:pStyle w:val="ListParagraph"/>
              <w:numPr>
                <w:ilvl w:val="0"/>
                <w:numId w:val="31"/>
              </w:numPr>
              <w:spacing w:after="0"/>
              <w:rPr>
                <w:rFonts w:asciiTheme="majorHAnsi" w:hAnsiTheme="majorHAnsi" w:cstheme="majorHAnsi"/>
                <w:b/>
                <w:bCs/>
                <w:u w:val="single"/>
              </w:rPr>
            </w:pPr>
            <w:r w:rsidRPr="00A134AE">
              <w:rPr>
                <w:rFonts w:asciiTheme="majorHAnsi" w:hAnsiTheme="majorHAnsi" w:cstheme="majorHAnsi"/>
                <w:bCs/>
              </w:rPr>
              <w:t>Significant management experience</w:t>
            </w:r>
          </w:p>
        </w:tc>
      </w:tr>
      <w:tr w:rsidR="00877512" w:rsidRPr="00A134AE" w14:paraId="080BF590" w14:textId="77777777" w:rsidTr="00DB2BD8">
        <w:tc>
          <w:tcPr>
            <w:tcW w:w="267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BE30DE" w14:textId="73BE68F5" w:rsidR="00661AE5" w:rsidRPr="00A134AE" w:rsidRDefault="00661AE5" w:rsidP="00877512">
            <w:pPr>
              <w:contextualSpacing/>
              <w:rPr>
                <w:rFonts w:asciiTheme="majorHAnsi" w:hAnsiTheme="majorHAnsi" w:cstheme="majorHAnsi"/>
              </w:rPr>
            </w:pPr>
            <w:r w:rsidRPr="00A134AE">
              <w:rPr>
                <w:rFonts w:asciiTheme="majorHAnsi" w:hAnsiTheme="majorHAnsi" w:cstheme="majorHAnsi"/>
              </w:rPr>
              <w:t>Competencies</w:t>
            </w:r>
          </w:p>
        </w:tc>
        <w:tc>
          <w:tcPr>
            <w:tcW w:w="6790" w:type="dxa"/>
            <w:tcBorders>
              <w:top w:val="single" w:sz="2" w:space="0" w:color="auto"/>
              <w:left w:val="single" w:sz="2" w:space="0" w:color="auto"/>
              <w:bottom w:val="single" w:sz="2" w:space="0" w:color="auto"/>
              <w:right w:val="single" w:sz="2" w:space="0" w:color="auto"/>
            </w:tcBorders>
          </w:tcPr>
          <w:p w14:paraId="1C0358A7" w14:textId="48F4658B" w:rsidR="00661AE5" w:rsidRPr="00A134AE" w:rsidRDefault="003A19CB" w:rsidP="00877512">
            <w:pPr>
              <w:pStyle w:val="ListParagraph"/>
              <w:numPr>
                <w:ilvl w:val="0"/>
                <w:numId w:val="32"/>
              </w:numPr>
              <w:spacing w:after="0"/>
              <w:rPr>
                <w:rFonts w:asciiTheme="majorHAnsi" w:hAnsiTheme="majorHAnsi" w:cstheme="majorHAnsi"/>
                <w:bCs/>
              </w:rPr>
            </w:pPr>
            <w:r w:rsidRPr="00A134AE">
              <w:rPr>
                <w:rFonts w:asciiTheme="majorHAnsi" w:hAnsiTheme="majorHAnsi" w:cstheme="majorHAnsi"/>
                <w:bCs/>
              </w:rPr>
              <w:t>Highly effective leader</w:t>
            </w:r>
            <w:r w:rsidR="001816D0" w:rsidRPr="00A134AE">
              <w:rPr>
                <w:rFonts w:asciiTheme="majorHAnsi" w:hAnsiTheme="majorHAnsi" w:cstheme="majorHAnsi"/>
                <w:bCs/>
              </w:rPr>
              <w:t>, with the highest standards of personal and professional integrity</w:t>
            </w:r>
          </w:p>
          <w:p w14:paraId="7A6387C1" w14:textId="0BE47A92" w:rsidR="00661AE5" w:rsidRPr="00A134AE" w:rsidRDefault="003A19CB" w:rsidP="00877512">
            <w:pPr>
              <w:pStyle w:val="ListParagraph"/>
              <w:numPr>
                <w:ilvl w:val="0"/>
                <w:numId w:val="32"/>
              </w:numPr>
              <w:spacing w:after="0"/>
              <w:rPr>
                <w:rFonts w:asciiTheme="majorHAnsi" w:hAnsiTheme="majorHAnsi" w:cstheme="majorHAnsi"/>
                <w:bCs/>
              </w:rPr>
            </w:pPr>
            <w:r w:rsidRPr="00A134AE">
              <w:rPr>
                <w:rFonts w:asciiTheme="majorHAnsi" w:hAnsiTheme="majorHAnsi" w:cstheme="majorHAnsi"/>
                <w:bCs/>
              </w:rPr>
              <w:t xml:space="preserve">Ability to manage </w:t>
            </w:r>
            <w:r w:rsidR="002F030D" w:rsidRPr="00A134AE">
              <w:rPr>
                <w:rFonts w:asciiTheme="majorHAnsi" w:hAnsiTheme="majorHAnsi" w:cstheme="majorHAnsi"/>
                <w:bCs/>
              </w:rPr>
              <w:t>exceptionally diverse range</w:t>
            </w:r>
            <w:r w:rsidRPr="00A134AE">
              <w:rPr>
                <w:rFonts w:asciiTheme="majorHAnsi" w:hAnsiTheme="majorHAnsi" w:cstheme="majorHAnsi"/>
                <w:bCs/>
              </w:rPr>
              <w:t xml:space="preserve"> of issues, usually under time constraints and political sensitivities</w:t>
            </w:r>
          </w:p>
          <w:p w14:paraId="6FF83901" w14:textId="20AFD74C" w:rsidR="002F030D" w:rsidRPr="00A134AE" w:rsidRDefault="002F030D" w:rsidP="00877512">
            <w:pPr>
              <w:pStyle w:val="ListParagraph"/>
              <w:numPr>
                <w:ilvl w:val="0"/>
                <w:numId w:val="32"/>
              </w:numPr>
              <w:spacing w:after="0"/>
              <w:rPr>
                <w:rFonts w:asciiTheme="majorHAnsi" w:hAnsiTheme="majorHAnsi" w:cstheme="majorHAnsi"/>
                <w:bCs/>
              </w:rPr>
            </w:pPr>
            <w:r w:rsidRPr="00A134AE">
              <w:rPr>
                <w:rFonts w:asciiTheme="majorHAnsi" w:hAnsiTheme="majorHAnsi" w:cstheme="majorHAnsi"/>
                <w:bCs/>
              </w:rPr>
              <w:t>Able to creatively solve problems and offer solutions</w:t>
            </w:r>
          </w:p>
          <w:p w14:paraId="69B0AC6A" w14:textId="77777777" w:rsidR="002F030D" w:rsidRPr="00A134AE" w:rsidRDefault="002F030D" w:rsidP="00877512">
            <w:pPr>
              <w:pStyle w:val="ListParagraph"/>
              <w:numPr>
                <w:ilvl w:val="0"/>
                <w:numId w:val="32"/>
              </w:numPr>
              <w:spacing w:after="0"/>
              <w:rPr>
                <w:rFonts w:asciiTheme="majorHAnsi" w:hAnsiTheme="majorHAnsi" w:cstheme="majorHAnsi"/>
                <w:bCs/>
              </w:rPr>
            </w:pPr>
            <w:r w:rsidRPr="00A134AE">
              <w:rPr>
                <w:rFonts w:asciiTheme="majorHAnsi" w:hAnsiTheme="majorHAnsi" w:cstheme="majorHAnsi"/>
                <w:bCs/>
              </w:rPr>
              <w:t>Able to provide strategic and pragmatic counsel</w:t>
            </w:r>
          </w:p>
          <w:p w14:paraId="6CC1E833" w14:textId="65F5D6EC" w:rsidR="002F030D" w:rsidRPr="00A134AE" w:rsidRDefault="002F030D" w:rsidP="00877512">
            <w:pPr>
              <w:pStyle w:val="ListParagraph"/>
              <w:numPr>
                <w:ilvl w:val="0"/>
                <w:numId w:val="32"/>
              </w:numPr>
              <w:spacing w:after="0"/>
              <w:rPr>
                <w:rFonts w:asciiTheme="majorHAnsi" w:hAnsiTheme="majorHAnsi" w:cstheme="majorHAnsi"/>
                <w:bCs/>
              </w:rPr>
            </w:pPr>
            <w:r w:rsidRPr="00A134AE">
              <w:rPr>
                <w:rFonts w:asciiTheme="majorHAnsi" w:hAnsiTheme="majorHAnsi" w:cstheme="majorHAnsi"/>
                <w:bCs/>
              </w:rPr>
              <w:t>Work effectively across large, complex organizations</w:t>
            </w:r>
          </w:p>
          <w:p w14:paraId="39D36022" w14:textId="77777777" w:rsidR="002F030D" w:rsidRPr="00A134AE" w:rsidRDefault="002F030D" w:rsidP="00877512">
            <w:pPr>
              <w:pStyle w:val="ListParagraph"/>
              <w:numPr>
                <w:ilvl w:val="0"/>
                <w:numId w:val="32"/>
              </w:numPr>
              <w:spacing w:after="0"/>
              <w:rPr>
                <w:rFonts w:asciiTheme="majorHAnsi" w:hAnsiTheme="majorHAnsi" w:cstheme="majorHAnsi"/>
                <w:bCs/>
              </w:rPr>
            </w:pPr>
            <w:r w:rsidRPr="00A134AE">
              <w:rPr>
                <w:rFonts w:asciiTheme="majorHAnsi" w:hAnsiTheme="majorHAnsi" w:cstheme="majorHAnsi"/>
                <w:bCs/>
              </w:rPr>
              <w:t>Remain calm and cool under pressure</w:t>
            </w:r>
          </w:p>
          <w:p w14:paraId="5D72D0C1" w14:textId="77777777" w:rsidR="002F030D" w:rsidRPr="00A134AE" w:rsidRDefault="002F030D" w:rsidP="00877512">
            <w:pPr>
              <w:pStyle w:val="ListParagraph"/>
              <w:numPr>
                <w:ilvl w:val="0"/>
                <w:numId w:val="32"/>
              </w:numPr>
              <w:spacing w:after="0"/>
              <w:rPr>
                <w:rFonts w:asciiTheme="majorHAnsi" w:hAnsiTheme="majorHAnsi" w:cstheme="majorHAnsi"/>
                <w:bCs/>
              </w:rPr>
            </w:pPr>
            <w:r w:rsidRPr="00A134AE">
              <w:rPr>
                <w:rFonts w:asciiTheme="majorHAnsi" w:hAnsiTheme="majorHAnsi" w:cstheme="majorHAnsi"/>
                <w:bCs/>
              </w:rPr>
              <w:t>Develop and maintain a strong network of relationships inside and outside the organization</w:t>
            </w:r>
          </w:p>
          <w:p w14:paraId="31DAC146" w14:textId="77777777" w:rsidR="000779F4" w:rsidRPr="00A134AE" w:rsidRDefault="000779F4" w:rsidP="00877512">
            <w:pPr>
              <w:pStyle w:val="ListParagraph"/>
              <w:numPr>
                <w:ilvl w:val="0"/>
                <w:numId w:val="32"/>
              </w:numPr>
              <w:spacing w:after="0"/>
              <w:rPr>
                <w:rFonts w:asciiTheme="majorHAnsi" w:hAnsiTheme="majorHAnsi" w:cstheme="majorHAnsi"/>
                <w:bCs/>
              </w:rPr>
            </w:pPr>
            <w:r w:rsidRPr="00A134AE">
              <w:rPr>
                <w:rFonts w:asciiTheme="majorHAnsi" w:hAnsiTheme="majorHAnsi" w:cstheme="majorHAnsi"/>
                <w:bCs/>
              </w:rPr>
              <w:t>Impeccable judgment</w:t>
            </w:r>
          </w:p>
          <w:p w14:paraId="6565A8DC" w14:textId="303567C2" w:rsidR="00493BBB" w:rsidRPr="00A134AE" w:rsidRDefault="00493BBB" w:rsidP="00877512">
            <w:pPr>
              <w:pStyle w:val="ListParagraph"/>
              <w:numPr>
                <w:ilvl w:val="0"/>
                <w:numId w:val="32"/>
              </w:numPr>
              <w:spacing w:after="0"/>
              <w:rPr>
                <w:rFonts w:asciiTheme="majorHAnsi" w:hAnsiTheme="majorHAnsi" w:cstheme="majorHAnsi"/>
                <w:bCs/>
              </w:rPr>
            </w:pPr>
            <w:r w:rsidRPr="00A134AE">
              <w:rPr>
                <w:rFonts w:asciiTheme="majorHAnsi" w:hAnsiTheme="majorHAnsi" w:cstheme="majorHAnsi"/>
                <w:bCs/>
              </w:rPr>
              <w:t>Superb communications skills, both oral and written</w:t>
            </w:r>
          </w:p>
        </w:tc>
      </w:tr>
      <w:tr w:rsidR="00877512" w:rsidRPr="00A134AE" w14:paraId="75FF98B0" w14:textId="77777777" w:rsidTr="00DB2BD8">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396A9DE" w14:textId="5A9D9649" w:rsidR="00661AE5" w:rsidRPr="00A134AE" w:rsidRDefault="00661AE5" w:rsidP="00877512">
            <w:pPr>
              <w:contextualSpacing/>
              <w:jc w:val="center"/>
              <w:rPr>
                <w:rFonts w:asciiTheme="majorHAnsi" w:hAnsiTheme="majorHAnsi" w:cstheme="majorHAnsi"/>
                <w:b/>
              </w:rPr>
            </w:pPr>
            <w:r w:rsidRPr="00A134AE">
              <w:rPr>
                <w:rFonts w:asciiTheme="majorHAnsi" w:hAnsiTheme="majorHAnsi" w:cstheme="majorHAnsi"/>
                <w:b/>
              </w:rPr>
              <w:t>PAST APPOINTEES</w:t>
            </w:r>
          </w:p>
        </w:tc>
      </w:tr>
      <w:tr w:rsidR="00877512" w:rsidRPr="00A134AE" w14:paraId="439B5619" w14:textId="77777777" w:rsidTr="00DB2BD8">
        <w:tc>
          <w:tcPr>
            <w:tcW w:w="9462" w:type="dxa"/>
            <w:gridSpan w:val="2"/>
            <w:tcBorders>
              <w:top w:val="single" w:sz="2" w:space="0" w:color="auto"/>
              <w:left w:val="single" w:sz="2" w:space="0" w:color="auto"/>
              <w:bottom w:val="single" w:sz="2" w:space="0" w:color="auto"/>
              <w:right w:val="single" w:sz="2" w:space="0" w:color="auto"/>
            </w:tcBorders>
          </w:tcPr>
          <w:p w14:paraId="0BDA5958" w14:textId="46DED624" w:rsidR="00493BBB" w:rsidRPr="00A134AE" w:rsidRDefault="00371D65" w:rsidP="00877512">
            <w:pPr>
              <w:contextualSpacing/>
              <w:rPr>
                <w:rFonts w:asciiTheme="majorHAnsi" w:hAnsiTheme="majorHAnsi" w:cstheme="majorHAnsi"/>
              </w:rPr>
            </w:pPr>
            <w:r w:rsidRPr="00A134AE">
              <w:rPr>
                <w:rFonts w:asciiTheme="majorHAnsi" w:hAnsiTheme="majorHAnsi" w:cstheme="majorHAnsi"/>
              </w:rPr>
              <w:t>James Cole, Jr.</w:t>
            </w:r>
            <w:r w:rsidR="00661AE5" w:rsidRPr="00A134AE">
              <w:rPr>
                <w:rFonts w:asciiTheme="majorHAnsi" w:hAnsiTheme="majorHAnsi" w:cstheme="majorHAnsi"/>
              </w:rPr>
              <w:t xml:space="preserve">, </w:t>
            </w:r>
            <w:r w:rsidRPr="00A134AE">
              <w:rPr>
                <w:rFonts w:asciiTheme="majorHAnsi" w:hAnsiTheme="majorHAnsi" w:cstheme="majorHAnsi"/>
              </w:rPr>
              <w:t>General Counsel, Delegated the Duties of Deputy Secretary of Education, (2014-</w:t>
            </w:r>
            <w:r w:rsidR="00EA5DCF">
              <w:rPr>
                <w:rFonts w:asciiTheme="majorHAnsi" w:hAnsiTheme="majorHAnsi" w:cstheme="majorHAnsi"/>
              </w:rPr>
              <w:t>2017</w:t>
            </w:r>
            <w:r w:rsidRPr="00A134AE">
              <w:rPr>
                <w:rFonts w:asciiTheme="majorHAnsi" w:hAnsiTheme="majorHAnsi" w:cstheme="majorHAnsi"/>
              </w:rPr>
              <w:t>, and</w:t>
            </w:r>
            <w:r w:rsidR="007A7294" w:rsidRPr="00A134AE">
              <w:rPr>
                <w:rFonts w:asciiTheme="majorHAnsi" w:hAnsiTheme="majorHAnsi" w:cstheme="majorHAnsi"/>
              </w:rPr>
              <w:t xml:space="preserve"> Deputy Secretary 2016-</w:t>
            </w:r>
            <w:r w:rsidR="00EA5DCF">
              <w:rPr>
                <w:rFonts w:asciiTheme="majorHAnsi" w:hAnsiTheme="majorHAnsi" w:cstheme="majorHAnsi"/>
              </w:rPr>
              <w:t>2017</w:t>
            </w:r>
            <w:r w:rsidR="007A7294" w:rsidRPr="00A134AE">
              <w:rPr>
                <w:rFonts w:asciiTheme="majorHAnsi" w:hAnsiTheme="majorHAnsi" w:cstheme="majorHAnsi"/>
              </w:rPr>
              <w:t xml:space="preserve">).  </w:t>
            </w:r>
          </w:p>
          <w:p w14:paraId="67F1D593" w14:textId="52C18B5B" w:rsidR="00661AE5" w:rsidRPr="00A134AE" w:rsidRDefault="00877512" w:rsidP="00877512">
            <w:pPr>
              <w:contextualSpacing/>
              <w:rPr>
                <w:rFonts w:asciiTheme="majorHAnsi" w:hAnsiTheme="majorHAnsi" w:cstheme="majorHAnsi"/>
              </w:rPr>
            </w:pPr>
            <w:r w:rsidRPr="00A134AE">
              <w:rPr>
                <w:rFonts w:asciiTheme="majorHAnsi" w:hAnsiTheme="majorHAnsi" w:cstheme="majorHAnsi"/>
              </w:rPr>
              <w:t xml:space="preserve">Previously: </w:t>
            </w:r>
            <w:r w:rsidR="00371D65" w:rsidRPr="00A134AE">
              <w:rPr>
                <w:rFonts w:asciiTheme="majorHAnsi" w:hAnsiTheme="majorHAnsi" w:cstheme="majorHAnsi"/>
              </w:rPr>
              <w:t>Deputy General Counsel, U.S. De</w:t>
            </w:r>
            <w:r w:rsidR="00683540" w:rsidRPr="00A134AE">
              <w:rPr>
                <w:rFonts w:asciiTheme="majorHAnsi" w:hAnsiTheme="majorHAnsi" w:cstheme="majorHAnsi"/>
              </w:rPr>
              <w:t>partment of Transportation, 2011-2014; Partner, Wachtell, Lipton, Rosen &amp; Katz</w:t>
            </w:r>
            <w:r w:rsidR="00661AE5" w:rsidRPr="00A134AE">
              <w:rPr>
                <w:rFonts w:asciiTheme="majorHAnsi" w:hAnsiTheme="majorHAnsi" w:cstheme="majorHAnsi"/>
              </w:rPr>
              <w:t xml:space="preserve">, </w:t>
            </w:r>
            <w:r w:rsidR="00683540" w:rsidRPr="00A134AE">
              <w:rPr>
                <w:rFonts w:asciiTheme="majorHAnsi" w:hAnsiTheme="majorHAnsi" w:cstheme="majorHAnsi"/>
              </w:rPr>
              <w:t>2004-2011; Associate, Wachtell, Lipton, Rosen &amp; Katz, 1996-2004.</w:t>
            </w:r>
          </w:p>
        </w:tc>
      </w:tr>
      <w:tr w:rsidR="00877512" w:rsidRPr="00A134AE" w14:paraId="2DAD6117" w14:textId="77777777" w:rsidTr="00DB2BD8">
        <w:tc>
          <w:tcPr>
            <w:tcW w:w="9462" w:type="dxa"/>
            <w:gridSpan w:val="2"/>
            <w:tcBorders>
              <w:top w:val="single" w:sz="2" w:space="0" w:color="auto"/>
              <w:left w:val="single" w:sz="2" w:space="0" w:color="auto"/>
              <w:bottom w:val="single" w:sz="2" w:space="0" w:color="auto"/>
              <w:right w:val="single" w:sz="2" w:space="0" w:color="auto"/>
            </w:tcBorders>
          </w:tcPr>
          <w:p w14:paraId="32961385" w14:textId="77777777" w:rsidR="00493BBB" w:rsidRPr="00A134AE" w:rsidRDefault="00036DDD" w:rsidP="00877512">
            <w:pPr>
              <w:contextualSpacing/>
              <w:rPr>
                <w:rFonts w:asciiTheme="majorHAnsi" w:hAnsiTheme="majorHAnsi" w:cstheme="majorHAnsi"/>
              </w:rPr>
            </w:pPr>
            <w:r w:rsidRPr="00A134AE">
              <w:rPr>
                <w:rFonts w:asciiTheme="majorHAnsi" w:hAnsiTheme="majorHAnsi" w:cstheme="majorHAnsi"/>
              </w:rPr>
              <w:t>Philip H. Rosenfelt, Acting General Counsel or Deputy General Counsel “delegated to perform the functions and duties of the General Counsel” (2011-2014)</w:t>
            </w:r>
            <w:r w:rsidR="007A7294" w:rsidRPr="00A134AE">
              <w:rPr>
                <w:rFonts w:asciiTheme="majorHAnsi" w:hAnsiTheme="majorHAnsi" w:cstheme="majorHAnsi"/>
              </w:rPr>
              <w:t xml:space="preserve">.  </w:t>
            </w:r>
          </w:p>
          <w:p w14:paraId="0BB4AF15" w14:textId="4F0A42AD" w:rsidR="00661AE5" w:rsidRPr="00A134AE" w:rsidRDefault="00661AE5" w:rsidP="00877512">
            <w:pPr>
              <w:contextualSpacing/>
              <w:rPr>
                <w:rFonts w:asciiTheme="majorHAnsi" w:hAnsiTheme="majorHAnsi" w:cstheme="majorHAnsi"/>
              </w:rPr>
            </w:pPr>
            <w:r w:rsidRPr="00A134AE">
              <w:rPr>
                <w:rFonts w:asciiTheme="majorHAnsi" w:hAnsiTheme="majorHAnsi" w:cstheme="majorHAnsi"/>
              </w:rPr>
              <w:lastRenderedPageBreak/>
              <w:t>Previous</w:t>
            </w:r>
            <w:r w:rsidR="007A7294" w:rsidRPr="00A134AE">
              <w:rPr>
                <w:rFonts w:asciiTheme="majorHAnsi" w:hAnsiTheme="majorHAnsi" w:cstheme="majorHAnsi"/>
              </w:rPr>
              <w:t>ly: various legal positions with the U.S. Department of Education and its predecessor (Department of Health, Educa</w:t>
            </w:r>
            <w:r w:rsidR="00877512" w:rsidRPr="00A134AE">
              <w:rPr>
                <w:rFonts w:asciiTheme="majorHAnsi" w:hAnsiTheme="majorHAnsi" w:cstheme="majorHAnsi"/>
              </w:rPr>
              <w:t>tion, and Welfare) since 1971.</w:t>
            </w:r>
          </w:p>
        </w:tc>
      </w:tr>
      <w:tr w:rsidR="00877512" w:rsidRPr="00A134AE" w14:paraId="30746279" w14:textId="77777777" w:rsidTr="00DB2BD8">
        <w:tc>
          <w:tcPr>
            <w:tcW w:w="9462" w:type="dxa"/>
            <w:gridSpan w:val="2"/>
            <w:tcBorders>
              <w:top w:val="single" w:sz="2" w:space="0" w:color="auto"/>
              <w:left w:val="single" w:sz="2" w:space="0" w:color="auto"/>
              <w:bottom w:val="single" w:sz="2" w:space="0" w:color="auto"/>
              <w:right w:val="single" w:sz="2" w:space="0" w:color="auto"/>
            </w:tcBorders>
          </w:tcPr>
          <w:p w14:paraId="1F5CA354" w14:textId="77777777" w:rsidR="00493BBB" w:rsidRPr="00A134AE" w:rsidRDefault="005B106F" w:rsidP="00877512">
            <w:pPr>
              <w:contextualSpacing/>
              <w:rPr>
                <w:rFonts w:asciiTheme="majorHAnsi" w:hAnsiTheme="majorHAnsi" w:cstheme="majorHAnsi"/>
              </w:rPr>
            </w:pPr>
            <w:r w:rsidRPr="00A134AE">
              <w:rPr>
                <w:rFonts w:asciiTheme="majorHAnsi" w:hAnsiTheme="majorHAnsi" w:cstheme="majorHAnsi"/>
              </w:rPr>
              <w:lastRenderedPageBreak/>
              <w:t xml:space="preserve">Charles P. Rose, </w:t>
            </w:r>
            <w:r w:rsidR="007A7294" w:rsidRPr="00A134AE">
              <w:rPr>
                <w:rFonts w:asciiTheme="majorHAnsi" w:hAnsiTheme="majorHAnsi" w:cstheme="majorHAnsi"/>
              </w:rPr>
              <w:t xml:space="preserve">General Counsel </w:t>
            </w:r>
            <w:r w:rsidR="00036DDD" w:rsidRPr="00A134AE">
              <w:rPr>
                <w:rFonts w:asciiTheme="majorHAnsi" w:hAnsiTheme="majorHAnsi" w:cstheme="majorHAnsi"/>
              </w:rPr>
              <w:t>(</w:t>
            </w:r>
            <w:r w:rsidRPr="00A134AE">
              <w:rPr>
                <w:rFonts w:asciiTheme="majorHAnsi" w:hAnsiTheme="majorHAnsi" w:cstheme="majorHAnsi"/>
              </w:rPr>
              <w:t>2009-</w:t>
            </w:r>
            <w:r w:rsidR="00036DDD" w:rsidRPr="00A134AE">
              <w:rPr>
                <w:rFonts w:asciiTheme="majorHAnsi" w:hAnsiTheme="majorHAnsi" w:cstheme="majorHAnsi"/>
              </w:rPr>
              <w:t>2011)</w:t>
            </w:r>
            <w:r w:rsidR="007A7294" w:rsidRPr="00A134AE">
              <w:rPr>
                <w:rFonts w:asciiTheme="majorHAnsi" w:hAnsiTheme="majorHAnsi" w:cstheme="majorHAnsi"/>
              </w:rPr>
              <w:t xml:space="preserve">. </w:t>
            </w:r>
            <w:r w:rsidR="00661AE5" w:rsidRPr="00A134AE">
              <w:rPr>
                <w:rFonts w:asciiTheme="majorHAnsi" w:hAnsiTheme="majorHAnsi" w:cstheme="majorHAnsi"/>
              </w:rPr>
              <w:t xml:space="preserve"> </w:t>
            </w:r>
          </w:p>
          <w:p w14:paraId="18848F26" w14:textId="1CE9C943" w:rsidR="00661AE5" w:rsidRPr="00A134AE" w:rsidRDefault="00036DDD" w:rsidP="00877512">
            <w:pPr>
              <w:contextualSpacing/>
              <w:rPr>
                <w:rFonts w:asciiTheme="majorHAnsi" w:hAnsiTheme="majorHAnsi" w:cstheme="majorHAnsi"/>
              </w:rPr>
            </w:pPr>
            <w:r w:rsidRPr="00A134AE">
              <w:rPr>
                <w:rFonts w:asciiTheme="majorHAnsi" w:hAnsiTheme="majorHAnsi" w:cstheme="majorHAnsi"/>
              </w:rPr>
              <w:t xml:space="preserve">Previously: </w:t>
            </w:r>
            <w:r w:rsidR="005B106F" w:rsidRPr="00A134AE">
              <w:rPr>
                <w:rFonts w:asciiTheme="majorHAnsi" w:hAnsiTheme="majorHAnsi" w:cstheme="majorHAnsi"/>
              </w:rPr>
              <w:t>Founding Partner</w:t>
            </w:r>
            <w:r w:rsidRPr="00A134AE">
              <w:rPr>
                <w:rFonts w:asciiTheme="majorHAnsi" w:hAnsiTheme="majorHAnsi" w:cstheme="majorHAnsi"/>
              </w:rPr>
              <w:t xml:space="preserve">, Franczek Radelet &amp; Rose P.C., 1994-2009; Partner, Vedder, Price, Kaufman &amp; </w:t>
            </w:r>
            <w:proofErr w:type="spellStart"/>
            <w:r w:rsidRPr="00A134AE">
              <w:rPr>
                <w:rFonts w:asciiTheme="majorHAnsi" w:hAnsiTheme="majorHAnsi" w:cstheme="majorHAnsi"/>
              </w:rPr>
              <w:t>Kammholz</w:t>
            </w:r>
            <w:proofErr w:type="spellEnd"/>
            <w:r w:rsidRPr="00A134AE">
              <w:rPr>
                <w:rFonts w:asciiTheme="majorHAnsi" w:hAnsiTheme="majorHAnsi" w:cstheme="majorHAnsi"/>
              </w:rPr>
              <w:t>, 1984-1994.</w:t>
            </w:r>
          </w:p>
        </w:tc>
      </w:tr>
      <w:tr w:rsidR="00877512" w:rsidRPr="00A134AE" w14:paraId="7AF8BA39" w14:textId="77777777" w:rsidTr="00DB2BD8">
        <w:tc>
          <w:tcPr>
            <w:tcW w:w="9462" w:type="dxa"/>
            <w:gridSpan w:val="2"/>
            <w:tcBorders>
              <w:top w:val="single" w:sz="2" w:space="0" w:color="auto"/>
              <w:left w:val="single" w:sz="2" w:space="0" w:color="auto"/>
              <w:bottom w:val="single" w:sz="2" w:space="0" w:color="auto"/>
              <w:right w:val="single" w:sz="2" w:space="0" w:color="auto"/>
            </w:tcBorders>
          </w:tcPr>
          <w:p w14:paraId="5B956139" w14:textId="77777777" w:rsidR="00493BBB" w:rsidRPr="00A134AE" w:rsidRDefault="007A7294" w:rsidP="00877512">
            <w:pPr>
              <w:contextualSpacing/>
              <w:rPr>
                <w:rFonts w:asciiTheme="majorHAnsi" w:hAnsiTheme="majorHAnsi" w:cstheme="majorHAnsi"/>
              </w:rPr>
            </w:pPr>
            <w:r w:rsidRPr="00A134AE">
              <w:rPr>
                <w:rFonts w:asciiTheme="majorHAnsi" w:hAnsiTheme="majorHAnsi" w:cstheme="majorHAnsi"/>
              </w:rPr>
              <w:t xml:space="preserve">Kent D. Talbert, General Counsel (2006-2009).  </w:t>
            </w:r>
          </w:p>
          <w:p w14:paraId="556ABD9B" w14:textId="37EAE983" w:rsidR="00B8178B" w:rsidRPr="00A134AE" w:rsidRDefault="007A7294" w:rsidP="00877512">
            <w:pPr>
              <w:contextualSpacing/>
              <w:rPr>
                <w:rFonts w:asciiTheme="majorHAnsi" w:hAnsiTheme="majorHAnsi" w:cstheme="majorHAnsi"/>
              </w:rPr>
            </w:pPr>
            <w:r w:rsidRPr="00A134AE">
              <w:rPr>
                <w:rFonts w:asciiTheme="majorHAnsi" w:hAnsiTheme="majorHAnsi" w:cstheme="majorHAnsi"/>
              </w:rPr>
              <w:t xml:space="preserve">Previously: Deputy General Counsel for the Division of Business and Administrative Law and the Division of Legislative Counsel, U.S. Department of Education, 2001-2006; </w:t>
            </w:r>
            <w:r w:rsidR="00DB2BD8" w:rsidRPr="00A134AE">
              <w:rPr>
                <w:rFonts w:asciiTheme="majorHAnsi" w:hAnsiTheme="majorHAnsi" w:cstheme="majorHAnsi"/>
              </w:rPr>
              <w:t>earlier served for over 12 years on House and Senate staff, both as Education Policy Counsel for the House Committee on Education and the Workforce, and as a professional staff member of the Senate Committee</w:t>
            </w:r>
            <w:r w:rsidR="00877512" w:rsidRPr="00A134AE">
              <w:rPr>
                <w:rFonts w:asciiTheme="majorHAnsi" w:hAnsiTheme="majorHAnsi" w:cstheme="majorHAnsi"/>
              </w:rPr>
              <w:t xml:space="preserve"> on Labor and Human Resources.</w:t>
            </w:r>
          </w:p>
        </w:tc>
      </w:tr>
      <w:bookmarkEnd w:id="0"/>
    </w:tbl>
    <w:p w14:paraId="52DF2DCD" w14:textId="74E2BB0A" w:rsidR="00514128" w:rsidRPr="00877512" w:rsidRDefault="00514128">
      <w:pPr>
        <w:rPr>
          <w:rFonts w:ascii="Arial" w:hAnsi="Arial" w:cs="Arial"/>
        </w:rPr>
      </w:pPr>
    </w:p>
    <w:sectPr w:rsidR="00514128" w:rsidRPr="00877512"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B3E34" w14:textId="77777777" w:rsidR="007D74E1" w:rsidRDefault="007D74E1" w:rsidP="001E22F1">
      <w:r>
        <w:separator/>
      </w:r>
    </w:p>
  </w:endnote>
  <w:endnote w:type="continuationSeparator" w:id="0">
    <w:p w14:paraId="6A2D146E" w14:textId="77777777" w:rsidR="007D74E1" w:rsidRDefault="007D74E1" w:rsidP="001E22F1">
      <w:r>
        <w:continuationSeparator/>
      </w:r>
    </w:p>
  </w:endnote>
  <w:endnote w:id="1">
    <w:p w14:paraId="655DA968" w14:textId="77777777" w:rsidR="00877512" w:rsidRDefault="00877512" w:rsidP="00E346DA">
      <w:pPr>
        <w:pStyle w:val="EndnoteText"/>
        <w:jc w:val="both"/>
      </w:pPr>
      <w:r>
        <w:rPr>
          <w:rStyle w:val="EndnoteReference"/>
        </w:rPr>
        <w:endnoteRef/>
      </w:r>
      <w:r>
        <w:t xml:space="preserve"> Partnership for Public Service agency profile</w:t>
      </w:r>
    </w:p>
  </w:endnote>
  <w:endnote w:id="2">
    <w:p w14:paraId="312CDCE1" w14:textId="6F11AC43" w:rsidR="006B7367" w:rsidRDefault="006B7367">
      <w:pPr>
        <w:pStyle w:val="EndnoteText"/>
      </w:pPr>
      <w:r>
        <w:rPr>
          <w:rStyle w:val="EndnoteReference"/>
        </w:rPr>
        <w:endnoteRef/>
      </w:r>
      <w:r>
        <w:t xml:space="preserve"> </w:t>
      </w:r>
      <w:r w:rsidR="000A7DA2">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3">
    <w:p w14:paraId="59BC8AA8" w14:textId="77777777" w:rsidR="00877512" w:rsidRDefault="00877512" w:rsidP="00877512">
      <w:pPr>
        <w:pStyle w:val="EndnoteText"/>
        <w:jc w:val="both"/>
      </w:pPr>
      <w:r>
        <w:rPr>
          <w:rStyle w:val="EndnoteReference"/>
        </w:rPr>
        <w:endnoteRef/>
      </w:r>
      <w:r>
        <w:t xml:space="preserve"> Partnership for Public Service agency profile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55DDA2EF"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09DDF" w14:textId="77777777" w:rsidR="007D74E1" w:rsidRDefault="007D74E1" w:rsidP="001E22F1">
      <w:r>
        <w:separator/>
      </w:r>
    </w:p>
  </w:footnote>
  <w:footnote w:type="continuationSeparator" w:id="0">
    <w:p w14:paraId="37D001C4" w14:textId="77777777" w:rsidR="007D74E1" w:rsidRDefault="007D74E1"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0A7DA2"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26B7E"/>
    <w:multiLevelType w:val="multilevel"/>
    <w:tmpl w:val="137C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2BC228C"/>
    <w:multiLevelType w:val="hybridMultilevel"/>
    <w:tmpl w:val="3928152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12"/>
  </w:num>
  <w:num w:numId="4">
    <w:abstractNumId w:val="35"/>
  </w:num>
  <w:num w:numId="5">
    <w:abstractNumId w:val="6"/>
  </w:num>
  <w:num w:numId="6">
    <w:abstractNumId w:val="31"/>
  </w:num>
  <w:num w:numId="7">
    <w:abstractNumId w:val="5"/>
  </w:num>
  <w:num w:numId="8">
    <w:abstractNumId w:val="27"/>
  </w:num>
  <w:num w:numId="9">
    <w:abstractNumId w:val="16"/>
  </w:num>
  <w:num w:numId="10">
    <w:abstractNumId w:val="7"/>
  </w:num>
  <w:num w:numId="11">
    <w:abstractNumId w:val="14"/>
  </w:num>
  <w:num w:numId="12">
    <w:abstractNumId w:val="22"/>
  </w:num>
  <w:num w:numId="13">
    <w:abstractNumId w:val="21"/>
  </w:num>
  <w:num w:numId="14">
    <w:abstractNumId w:val="23"/>
  </w:num>
  <w:num w:numId="15">
    <w:abstractNumId w:val="25"/>
  </w:num>
  <w:num w:numId="16">
    <w:abstractNumId w:val="1"/>
  </w:num>
  <w:num w:numId="17">
    <w:abstractNumId w:val="18"/>
  </w:num>
  <w:num w:numId="18">
    <w:abstractNumId w:val="30"/>
  </w:num>
  <w:num w:numId="19">
    <w:abstractNumId w:val="9"/>
  </w:num>
  <w:num w:numId="20">
    <w:abstractNumId w:val="24"/>
  </w:num>
  <w:num w:numId="21">
    <w:abstractNumId w:val="28"/>
  </w:num>
  <w:num w:numId="22">
    <w:abstractNumId w:val="11"/>
  </w:num>
  <w:num w:numId="23">
    <w:abstractNumId w:val="8"/>
  </w:num>
  <w:num w:numId="24">
    <w:abstractNumId w:val="29"/>
  </w:num>
  <w:num w:numId="25">
    <w:abstractNumId w:val="13"/>
  </w:num>
  <w:num w:numId="26">
    <w:abstractNumId w:val="3"/>
  </w:num>
  <w:num w:numId="27">
    <w:abstractNumId w:val="19"/>
  </w:num>
  <w:num w:numId="28">
    <w:abstractNumId w:val="17"/>
  </w:num>
  <w:num w:numId="29">
    <w:abstractNumId w:val="20"/>
  </w:num>
  <w:num w:numId="30">
    <w:abstractNumId w:val="26"/>
  </w:num>
  <w:num w:numId="31">
    <w:abstractNumId w:val="33"/>
  </w:num>
  <w:num w:numId="32">
    <w:abstractNumId w:val="34"/>
  </w:num>
  <w:num w:numId="33">
    <w:abstractNumId w:val="10"/>
  </w:num>
  <w:num w:numId="34">
    <w:abstractNumId w:val="0"/>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3CFC"/>
    <w:rsid w:val="00027B15"/>
    <w:rsid w:val="00034730"/>
    <w:rsid w:val="00036DDD"/>
    <w:rsid w:val="0004519C"/>
    <w:rsid w:val="0006648F"/>
    <w:rsid w:val="00073701"/>
    <w:rsid w:val="0007480D"/>
    <w:rsid w:val="00076645"/>
    <w:rsid w:val="000779F4"/>
    <w:rsid w:val="00080E76"/>
    <w:rsid w:val="000846D6"/>
    <w:rsid w:val="0008706F"/>
    <w:rsid w:val="00087A28"/>
    <w:rsid w:val="000A0629"/>
    <w:rsid w:val="000A0E94"/>
    <w:rsid w:val="000A35C6"/>
    <w:rsid w:val="000A7DA2"/>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723C"/>
    <w:rsid w:val="00134D8D"/>
    <w:rsid w:val="00136A97"/>
    <w:rsid w:val="00137365"/>
    <w:rsid w:val="00160969"/>
    <w:rsid w:val="00160F21"/>
    <w:rsid w:val="001658B6"/>
    <w:rsid w:val="00171A70"/>
    <w:rsid w:val="0017272D"/>
    <w:rsid w:val="00177526"/>
    <w:rsid w:val="001816D0"/>
    <w:rsid w:val="0018425C"/>
    <w:rsid w:val="00187CA6"/>
    <w:rsid w:val="001956F0"/>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173F"/>
    <w:rsid w:val="00221F98"/>
    <w:rsid w:val="00222732"/>
    <w:rsid w:val="00224E61"/>
    <w:rsid w:val="002271BF"/>
    <w:rsid w:val="0023261D"/>
    <w:rsid w:val="002375DE"/>
    <w:rsid w:val="00246779"/>
    <w:rsid w:val="00262C31"/>
    <w:rsid w:val="002638DC"/>
    <w:rsid w:val="00263CE0"/>
    <w:rsid w:val="002678E9"/>
    <w:rsid w:val="00282909"/>
    <w:rsid w:val="00292D76"/>
    <w:rsid w:val="00297C2A"/>
    <w:rsid w:val="002A71CC"/>
    <w:rsid w:val="002B3AC4"/>
    <w:rsid w:val="002B44C0"/>
    <w:rsid w:val="002B59FC"/>
    <w:rsid w:val="002C76AB"/>
    <w:rsid w:val="002C7A86"/>
    <w:rsid w:val="002D28DF"/>
    <w:rsid w:val="002E0713"/>
    <w:rsid w:val="002F030D"/>
    <w:rsid w:val="002F204D"/>
    <w:rsid w:val="002F2F32"/>
    <w:rsid w:val="00321F38"/>
    <w:rsid w:val="00330ACB"/>
    <w:rsid w:val="003317A8"/>
    <w:rsid w:val="003353C5"/>
    <w:rsid w:val="003454E5"/>
    <w:rsid w:val="00354173"/>
    <w:rsid w:val="003616AC"/>
    <w:rsid w:val="00366270"/>
    <w:rsid w:val="00370BF4"/>
    <w:rsid w:val="00370ED0"/>
    <w:rsid w:val="00371D65"/>
    <w:rsid w:val="00375A18"/>
    <w:rsid w:val="00386024"/>
    <w:rsid w:val="003910F3"/>
    <w:rsid w:val="0039752D"/>
    <w:rsid w:val="003A0397"/>
    <w:rsid w:val="003A19CB"/>
    <w:rsid w:val="003A4DD4"/>
    <w:rsid w:val="003A6E33"/>
    <w:rsid w:val="003C3EF6"/>
    <w:rsid w:val="003C56E7"/>
    <w:rsid w:val="003D120B"/>
    <w:rsid w:val="003D4CCB"/>
    <w:rsid w:val="003D5759"/>
    <w:rsid w:val="003E06B9"/>
    <w:rsid w:val="003E45AC"/>
    <w:rsid w:val="00405D3E"/>
    <w:rsid w:val="00405E4F"/>
    <w:rsid w:val="00411497"/>
    <w:rsid w:val="00413872"/>
    <w:rsid w:val="00414F4B"/>
    <w:rsid w:val="00422D9C"/>
    <w:rsid w:val="00424234"/>
    <w:rsid w:val="00435A07"/>
    <w:rsid w:val="004366E7"/>
    <w:rsid w:val="00441ACF"/>
    <w:rsid w:val="0045383F"/>
    <w:rsid w:val="004618AB"/>
    <w:rsid w:val="00463F52"/>
    <w:rsid w:val="00467E18"/>
    <w:rsid w:val="00472A3C"/>
    <w:rsid w:val="00473034"/>
    <w:rsid w:val="0047481D"/>
    <w:rsid w:val="00476188"/>
    <w:rsid w:val="004846D3"/>
    <w:rsid w:val="004853B8"/>
    <w:rsid w:val="00490323"/>
    <w:rsid w:val="00491AD6"/>
    <w:rsid w:val="00493BBB"/>
    <w:rsid w:val="004960D6"/>
    <w:rsid w:val="004967A1"/>
    <w:rsid w:val="004A5A1A"/>
    <w:rsid w:val="004B5D5B"/>
    <w:rsid w:val="004B7829"/>
    <w:rsid w:val="004C0C7A"/>
    <w:rsid w:val="004C0F5B"/>
    <w:rsid w:val="004D37D9"/>
    <w:rsid w:val="004D3D04"/>
    <w:rsid w:val="004D63AE"/>
    <w:rsid w:val="004D6AA7"/>
    <w:rsid w:val="004D7D44"/>
    <w:rsid w:val="004E1C64"/>
    <w:rsid w:val="004E717F"/>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3B78"/>
    <w:rsid w:val="00574039"/>
    <w:rsid w:val="00577F0A"/>
    <w:rsid w:val="0058599E"/>
    <w:rsid w:val="005B0C70"/>
    <w:rsid w:val="005B106F"/>
    <w:rsid w:val="005B44AE"/>
    <w:rsid w:val="005D4099"/>
    <w:rsid w:val="005D5806"/>
    <w:rsid w:val="005E3461"/>
    <w:rsid w:val="005E6E2F"/>
    <w:rsid w:val="005F2771"/>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540"/>
    <w:rsid w:val="00683B6B"/>
    <w:rsid w:val="00687A9E"/>
    <w:rsid w:val="0069387A"/>
    <w:rsid w:val="006939E5"/>
    <w:rsid w:val="006B0D7D"/>
    <w:rsid w:val="006B379A"/>
    <w:rsid w:val="006B6253"/>
    <w:rsid w:val="006B7367"/>
    <w:rsid w:val="006C14EE"/>
    <w:rsid w:val="006C2A1C"/>
    <w:rsid w:val="006D1AC4"/>
    <w:rsid w:val="006E008A"/>
    <w:rsid w:val="006E374B"/>
    <w:rsid w:val="006E50C0"/>
    <w:rsid w:val="007043CA"/>
    <w:rsid w:val="00710CAF"/>
    <w:rsid w:val="0072243C"/>
    <w:rsid w:val="007237FA"/>
    <w:rsid w:val="00732A91"/>
    <w:rsid w:val="00736EC8"/>
    <w:rsid w:val="00737980"/>
    <w:rsid w:val="00741D94"/>
    <w:rsid w:val="00746237"/>
    <w:rsid w:val="007467DF"/>
    <w:rsid w:val="00756A61"/>
    <w:rsid w:val="00762481"/>
    <w:rsid w:val="0076444F"/>
    <w:rsid w:val="00771405"/>
    <w:rsid w:val="007777AA"/>
    <w:rsid w:val="00777E44"/>
    <w:rsid w:val="007872BC"/>
    <w:rsid w:val="007A377A"/>
    <w:rsid w:val="007A7294"/>
    <w:rsid w:val="007B1D32"/>
    <w:rsid w:val="007B6E3E"/>
    <w:rsid w:val="007D1AFF"/>
    <w:rsid w:val="007D609D"/>
    <w:rsid w:val="007D669F"/>
    <w:rsid w:val="007D74E1"/>
    <w:rsid w:val="007E1950"/>
    <w:rsid w:val="007F0E84"/>
    <w:rsid w:val="007F17B1"/>
    <w:rsid w:val="007F321F"/>
    <w:rsid w:val="007F338A"/>
    <w:rsid w:val="007F5A8E"/>
    <w:rsid w:val="007F6387"/>
    <w:rsid w:val="00806C5D"/>
    <w:rsid w:val="0081586C"/>
    <w:rsid w:val="00820463"/>
    <w:rsid w:val="00821486"/>
    <w:rsid w:val="008271A8"/>
    <w:rsid w:val="00833527"/>
    <w:rsid w:val="00836810"/>
    <w:rsid w:val="00843FE7"/>
    <w:rsid w:val="00845BCF"/>
    <w:rsid w:val="0085653B"/>
    <w:rsid w:val="00867383"/>
    <w:rsid w:val="008744A6"/>
    <w:rsid w:val="0087689B"/>
    <w:rsid w:val="00877512"/>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702"/>
    <w:rsid w:val="0094517E"/>
    <w:rsid w:val="00962B37"/>
    <w:rsid w:val="009630CC"/>
    <w:rsid w:val="0096330D"/>
    <w:rsid w:val="00970EB1"/>
    <w:rsid w:val="00971A5E"/>
    <w:rsid w:val="00977755"/>
    <w:rsid w:val="00977835"/>
    <w:rsid w:val="00981574"/>
    <w:rsid w:val="00981585"/>
    <w:rsid w:val="009B458C"/>
    <w:rsid w:val="009B5C03"/>
    <w:rsid w:val="009C2FED"/>
    <w:rsid w:val="009C544D"/>
    <w:rsid w:val="009D264E"/>
    <w:rsid w:val="009D3593"/>
    <w:rsid w:val="009E46C4"/>
    <w:rsid w:val="009E586C"/>
    <w:rsid w:val="009F59E4"/>
    <w:rsid w:val="00A07E43"/>
    <w:rsid w:val="00A134AE"/>
    <w:rsid w:val="00A15619"/>
    <w:rsid w:val="00A16DAE"/>
    <w:rsid w:val="00A20D92"/>
    <w:rsid w:val="00A21FED"/>
    <w:rsid w:val="00A33BE1"/>
    <w:rsid w:val="00A37BD6"/>
    <w:rsid w:val="00A46A0C"/>
    <w:rsid w:val="00A54EF3"/>
    <w:rsid w:val="00A653B2"/>
    <w:rsid w:val="00A869D4"/>
    <w:rsid w:val="00A92C24"/>
    <w:rsid w:val="00A9589A"/>
    <w:rsid w:val="00AA2E6E"/>
    <w:rsid w:val="00AA39E1"/>
    <w:rsid w:val="00AB37A6"/>
    <w:rsid w:val="00AC3B2C"/>
    <w:rsid w:val="00AC65D8"/>
    <w:rsid w:val="00AD47DA"/>
    <w:rsid w:val="00AD7337"/>
    <w:rsid w:val="00AE28E2"/>
    <w:rsid w:val="00AE78EC"/>
    <w:rsid w:val="00AF0FB2"/>
    <w:rsid w:val="00B015A0"/>
    <w:rsid w:val="00B037A9"/>
    <w:rsid w:val="00B03FED"/>
    <w:rsid w:val="00B05D99"/>
    <w:rsid w:val="00B15587"/>
    <w:rsid w:val="00B22E7C"/>
    <w:rsid w:val="00B3093B"/>
    <w:rsid w:val="00B33201"/>
    <w:rsid w:val="00B33603"/>
    <w:rsid w:val="00B400BE"/>
    <w:rsid w:val="00B52589"/>
    <w:rsid w:val="00B609BD"/>
    <w:rsid w:val="00B64A22"/>
    <w:rsid w:val="00B66919"/>
    <w:rsid w:val="00B72A3A"/>
    <w:rsid w:val="00B761F1"/>
    <w:rsid w:val="00B8178B"/>
    <w:rsid w:val="00B8440A"/>
    <w:rsid w:val="00B85C44"/>
    <w:rsid w:val="00B8737B"/>
    <w:rsid w:val="00B92A39"/>
    <w:rsid w:val="00B97B34"/>
    <w:rsid w:val="00BA34BC"/>
    <w:rsid w:val="00BC1493"/>
    <w:rsid w:val="00BC49C4"/>
    <w:rsid w:val="00BC78FF"/>
    <w:rsid w:val="00BD0F2B"/>
    <w:rsid w:val="00BD29EF"/>
    <w:rsid w:val="00BD4300"/>
    <w:rsid w:val="00BE28D8"/>
    <w:rsid w:val="00BF2BCE"/>
    <w:rsid w:val="00C00762"/>
    <w:rsid w:val="00C05B41"/>
    <w:rsid w:val="00C068DB"/>
    <w:rsid w:val="00C07FF8"/>
    <w:rsid w:val="00C14F52"/>
    <w:rsid w:val="00C153DF"/>
    <w:rsid w:val="00C30408"/>
    <w:rsid w:val="00C335FE"/>
    <w:rsid w:val="00C3365A"/>
    <w:rsid w:val="00C36CC2"/>
    <w:rsid w:val="00C44A8F"/>
    <w:rsid w:val="00C46EEC"/>
    <w:rsid w:val="00C52E88"/>
    <w:rsid w:val="00C5538B"/>
    <w:rsid w:val="00C71212"/>
    <w:rsid w:val="00C82C06"/>
    <w:rsid w:val="00C866F7"/>
    <w:rsid w:val="00C87AFC"/>
    <w:rsid w:val="00C94E0B"/>
    <w:rsid w:val="00CA0F50"/>
    <w:rsid w:val="00CA6785"/>
    <w:rsid w:val="00CC2512"/>
    <w:rsid w:val="00CC416B"/>
    <w:rsid w:val="00CD14D0"/>
    <w:rsid w:val="00CD409E"/>
    <w:rsid w:val="00D00C94"/>
    <w:rsid w:val="00D05ABC"/>
    <w:rsid w:val="00D1037C"/>
    <w:rsid w:val="00D137F7"/>
    <w:rsid w:val="00D1473D"/>
    <w:rsid w:val="00D201D5"/>
    <w:rsid w:val="00D258E9"/>
    <w:rsid w:val="00D35718"/>
    <w:rsid w:val="00D40AC5"/>
    <w:rsid w:val="00D43B6D"/>
    <w:rsid w:val="00D51191"/>
    <w:rsid w:val="00D60729"/>
    <w:rsid w:val="00D657BB"/>
    <w:rsid w:val="00D66F40"/>
    <w:rsid w:val="00D7198E"/>
    <w:rsid w:val="00D744FA"/>
    <w:rsid w:val="00D8185C"/>
    <w:rsid w:val="00D8605F"/>
    <w:rsid w:val="00D8690A"/>
    <w:rsid w:val="00D96149"/>
    <w:rsid w:val="00DA36B9"/>
    <w:rsid w:val="00DA387D"/>
    <w:rsid w:val="00DA6CA7"/>
    <w:rsid w:val="00DB2BD8"/>
    <w:rsid w:val="00DB7158"/>
    <w:rsid w:val="00DC0DCD"/>
    <w:rsid w:val="00DC4447"/>
    <w:rsid w:val="00DC4641"/>
    <w:rsid w:val="00DC65B3"/>
    <w:rsid w:val="00DD0C75"/>
    <w:rsid w:val="00DD6727"/>
    <w:rsid w:val="00DF1738"/>
    <w:rsid w:val="00DF257A"/>
    <w:rsid w:val="00DF568B"/>
    <w:rsid w:val="00DF7A0C"/>
    <w:rsid w:val="00E052D5"/>
    <w:rsid w:val="00E072C0"/>
    <w:rsid w:val="00E07A3F"/>
    <w:rsid w:val="00E07EFB"/>
    <w:rsid w:val="00E2022A"/>
    <w:rsid w:val="00E21E3C"/>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83B35"/>
    <w:rsid w:val="00E90C00"/>
    <w:rsid w:val="00E93216"/>
    <w:rsid w:val="00EA5DCF"/>
    <w:rsid w:val="00EA7EDC"/>
    <w:rsid w:val="00EB20A7"/>
    <w:rsid w:val="00EC2402"/>
    <w:rsid w:val="00EC429B"/>
    <w:rsid w:val="00EC4FDB"/>
    <w:rsid w:val="00EC68B6"/>
    <w:rsid w:val="00ED52F5"/>
    <w:rsid w:val="00ED5B9E"/>
    <w:rsid w:val="00EF11FF"/>
    <w:rsid w:val="00EF6FAB"/>
    <w:rsid w:val="00F1221F"/>
    <w:rsid w:val="00F24186"/>
    <w:rsid w:val="00F24A4E"/>
    <w:rsid w:val="00F25BCA"/>
    <w:rsid w:val="00F27FD6"/>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454"/>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spacing w:after="120"/>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877512"/>
    <w:rPr>
      <w:sz w:val="20"/>
      <w:szCs w:val="20"/>
    </w:rPr>
  </w:style>
  <w:style w:type="character" w:customStyle="1" w:styleId="EndnoteTextChar">
    <w:name w:val="Endnote Text Char"/>
    <w:basedOn w:val="DefaultParagraphFont"/>
    <w:link w:val="EndnoteText"/>
    <w:semiHidden/>
    <w:rsid w:val="00877512"/>
    <w:rPr>
      <w:sz w:val="20"/>
      <w:szCs w:val="20"/>
    </w:rPr>
  </w:style>
  <w:style w:type="character" w:styleId="EndnoteReference">
    <w:name w:val="endnote reference"/>
    <w:basedOn w:val="DefaultParagraphFont"/>
    <w:semiHidden/>
    <w:unhideWhenUsed/>
    <w:rsid w:val="008775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7927">
      <w:bodyDiv w:val="1"/>
      <w:marLeft w:val="0"/>
      <w:marRight w:val="0"/>
      <w:marTop w:val="0"/>
      <w:marBottom w:val="0"/>
      <w:divBdr>
        <w:top w:val="none" w:sz="0" w:space="0" w:color="auto"/>
        <w:left w:val="none" w:sz="0" w:space="0" w:color="auto"/>
        <w:bottom w:val="none" w:sz="0" w:space="0" w:color="auto"/>
        <w:right w:val="none" w:sz="0" w:space="0" w:color="auto"/>
      </w:divBdr>
    </w:div>
    <w:div w:id="439300558">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75498219">
      <w:bodyDiv w:val="1"/>
      <w:marLeft w:val="0"/>
      <w:marRight w:val="0"/>
      <w:marTop w:val="0"/>
      <w:marBottom w:val="0"/>
      <w:divBdr>
        <w:top w:val="none" w:sz="0" w:space="0" w:color="auto"/>
        <w:left w:val="none" w:sz="0" w:space="0" w:color="auto"/>
        <w:bottom w:val="none" w:sz="0" w:space="0" w:color="auto"/>
        <w:right w:val="none" w:sz="0" w:space="0" w:color="auto"/>
      </w:divBdr>
    </w:div>
    <w:div w:id="723261932">
      <w:bodyDiv w:val="1"/>
      <w:marLeft w:val="0"/>
      <w:marRight w:val="0"/>
      <w:marTop w:val="0"/>
      <w:marBottom w:val="0"/>
      <w:divBdr>
        <w:top w:val="none" w:sz="0" w:space="0" w:color="auto"/>
        <w:left w:val="none" w:sz="0" w:space="0" w:color="auto"/>
        <w:bottom w:val="none" w:sz="0" w:space="0" w:color="auto"/>
        <w:right w:val="none" w:sz="0" w:space="0" w:color="auto"/>
      </w:divBdr>
    </w:div>
    <w:div w:id="737746311">
      <w:bodyDiv w:val="1"/>
      <w:marLeft w:val="0"/>
      <w:marRight w:val="0"/>
      <w:marTop w:val="0"/>
      <w:marBottom w:val="0"/>
      <w:divBdr>
        <w:top w:val="none" w:sz="0" w:space="0" w:color="auto"/>
        <w:left w:val="none" w:sz="0" w:space="0" w:color="auto"/>
        <w:bottom w:val="none" w:sz="0" w:space="0" w:color="auto"/>
        <w:right w:val="none" w:sz="0" w:space="0" w:color="auto"/>
      </w:divBdr>
    </w:div>
    <w:div w:id="869612930">
      <w:bodyDiv w:val="1"/>
      <w:marLeft w:val="0"/>
      <w:marRight w:val="0"/>
      <w:marTop w:val="0"/>
      <w:marBottom w:val="0"/>
      <w:divBdr>
        <w:top w:val="none" w:sz="0" w:space="0" w:color="auto"/>
        <w:left w:val="none" w:sz="0" w:space="0" w:color="auto"/>
        <w:bottom w:val="none" w:sz="0" w:space="0" w:color="auto"/>
        <w:right w:val="none" w:sz="0" w:space="0" w:color="auto"/>
      </w:divBdr>
      <w:divsChild>
        <w:div w:id="611088704">
          <w:marLeft w:val="0"/>
          <w:marRight w:val="0"/>
          <w:marTop w:val="0"/>
          <w:marBottom w:val="0"/>
          <w:divBdr>
            <w:top w:val="none" w:sz="0" w:space="0" w:color="auto"/>
            <w:left w:val="none" w:sz="0" w:space="0" w:color="auto"/>
            <w:bottom w:val="none" w:sz="0" w:space="0" w:color="auto"/>
            <w:right w:val="none" w:sz="0" w:space="0" w:color="auto"/>
          </w:divBdr>
          <w:divsChild>
            <w:div w:id="789937408">
              <w:marLeft w:val="-225"/>
              <w:marRight w:val="-225"/>
              <w:marTop w:val="0"/>
              <w:marBottom w:val="0"/>
              <w:divBdr>
                <w:top w:val="none" w:sz="0" w:space="0" w:color="auto"/>
                <w:left w:val="none" w:sz="0" w:space="0" w:color="auto"/>
                <w:bottom w:val="none" w:sz="0" w:space="0" w:color="auto"/>
                <w:right w:val="none" w:sz="0" w:space="0" w:color="auto"/>
              </w:divBdr>
              <w:divsChild>
                <w:div w:id="1040931981">
                  <w:marLeft w:val="0"/>
                  <w:marRight w:val="0"/>
                  <w:marTop w:val="0"/>
                  <w:marBottom w:val="0"/>
                  <w:divBdr>
                    <w:top w:val="none" w:sz="0" w:space="0" w:color="auto"/>
                    <w:left w:val="none" w:sz="0" w:space="0" w:color="auto"/>
                    <w:bottom w:val="none" w:sz="0" w:space="0" w:color="auto"/>
                    <w:right w:val="none" w:sz="0" w:space="0" w:color="auto"/>
                  </w:divBdr>
                  <w:divsChild>
                    <w:div w:id="2045784726">
                      <w:marLeft w:val="0"/>
                      <w:marRight w:val="0"/>
                      <w:marTop w:val="0"/>
                      <w:marBottom w:val="0"/>
                      <w:divBdr>
                        <w:top w:val="none" w:sz="0" w:space="0" w:color="auto"/>
                        <w:left w:val="none" w:sz="0" w:space="0" w:color="auto"/>
                        <w:bottom w:val="none" w:sz="0" w:space="0" w:color="auto"/>
                        <w:right w:val="none" w:sz="0" w:space="0" w:color="auto"/>
                      </w:divBdr>
                      <w:divsChild>
                        <w:div w:id="834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08207">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58851432">
      <w:bodyDiv w:val="1"/>
      <w:marLeft w:val="0"/>
      <w:marRight w:val="0"/>
      <w:marTop w:val="0"/>
      <w:marBottom w:val="0"/>
      <w:divBdr>
        <w:top w:val="none" w:sz="0" w:space="0" w:color="auto"/>
        <w:left w:val="none" w:sz="0" w:space="0" w:color="auto"/>
        <w:bottom w:val="none" w:sz="0" w:space="0" w:color="auto"/>
        <w:right w:val="none" w:sz="0" w:space="0" w:color="auto"/>
      </w:divBdr>
    </w:div>
    <w:div w:id="1495073404">
      <w:bodyDiv w:val="1"/>
      <w:marLeft w:val="0"/>
      <w:marRight w:val="0"/>
      <w:marTop w:val="0"/>
      <w:marBottom w:val="0"/>
      <w:divBdr>
        <w:top w:val="none" w:sz="0" w:space="0" w:color="auto"/>
        <w:left w:val="none" w:sz="0" w:space="0" w:color="auto"/>
        <w:bottom w:val="none" w:sz="0" w:space="0" w:color="auto"/>
        <w:right w:val="none" w:sz="0" w:space="0" w:color="auto"/>
      </w:divBdr>
    </w:div>
    <w:div w:id="1689603727">
      <w:bodyDiv w:val="1"/>
      <w:marLeft w:val="0"/>
      <w:marRight w:val="0"/>
      <w:marTop w:val="0"/>
      <w:marBottom w:val="0"/>
      <w:divBdr>
        <w:top w:val="none" w:sz="0" w:space="0" w:color="auto"/>
        <w:left w:val="none" w:sz="0" w:space="0" w:color="auto"/>
        <w:bottom w:val="none" w:sz="0" w:space="0" w:color="auto"/>
        <w:right w:val="none" w:sz="0" w:space="0" w:color="auto"/>
      </w:divBdr>
    </w:div>
    <w:div w:id="2094356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26F68"/>
    <w:rsid w:val="005B3992"/>
    <w:rsid w:val="005E3561"/>
    <w:rsid w:val="00672DF4"/>
    <w:rsid w:val="00746492"/>
    <w:rsid w:val="008638AA"/>
    <w:rsid w:val="0087154F"/>
    <w:rsid w:val="008829C6"/>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f40142b5-dc02-4243-bb57-e360fa066623"/>
    <ds:schemaRef ds:uri="http://www.w3.org/XML/1998/namespace"/>
  </ds:schemaRefs>
</ds:datastoreItem>
</file>

<file path=customXml/itemProps3.xml><?xml version="1.0" encoding="utf-8"?>
<ds:datastoreItem xmlns:ds="http://schemas.openxmlformats.org/officeDocument/2006/customXml" ds:itemID="{F7940E09-F6A5-4D3C-B530-DD2A1BF62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8EEE96-E8F7-4B45-9A7C-4566C4A5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4937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7</cp:revision>
  <cp:lastPrinted>2016-07-12T18:00:00Z</cp:lastPrinted>
  <dcterms:created xsi:type="dcterms:W3CDTF">2017-01-24T20:41:00Z</dcterms:created>
  <dcterms:modified xsi:type="dcterms:W3CDTF">2017-08-23T19:46:00Z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